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lang w:val="en-US" w:eastAsia="zh-CN"/>
        </w:rPr>
        <w:t>单位</w:t>
      </w:r>
      <w:r>
        <w:rPr>
          <w:rFonts w:hint="eastAsia"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lang w:val="en-US" w:eastAsia="zh-CN"/>
        </w:rPr>
        <w:t>单位</w:t>
      </w:r>
      <w:r>
        <w:rPr>
          <w:rFonts w:hint="eastAsia"/>
        </w:rPr>
        <w:t>预算收支总表</w:t>
      </w:r>
      <w:r>
        <w:tab/>
      </w:r>
      <w:r>
        <w:fldChar w:fldCharType="begin"/>
      </w:r>
      <w:r>
        <w:instrText xml:space="preserve">PAGEREF _Toc_2_2_0000000001 \h</w:instrText>
      </w:r>
      <w:r>
        <w:fldChar w:fldCharType="separate"/>
      </w:r>
      <w:r>
        <w:t>3</w:t>
      </w:r>
      <w:r>
        <w:fldChar w:fldCharType="end"/>
      </w:r>
      <w:r>
        <w:fldChar w:fldCharType="end"/>
      </w:r>
    </w:p>
    <w:p>
      <w:pPr>
        <w:pStyle w:val="4"/>
        <w:tabs>
          <w:tab w:val="right" w:leader="dot" w:pos="14562"/>
        </w:tabs>
      </w:pPr>
      <w:r>
        <w:fldChar w:fldCharType="begin"/>
      </w:r>
      <w:r>
        <w:instrText xml:space="preserve">HYPERLINK  \l "_Toc_2_2_0000000002" </w:instrText>
      </w:r>
      <w:r>
        <w:fldChar w:fldCharType="separate"/>
      </w:r>
      <w:r>
        <w:rPr>
          <w:rFonts w:hint="eastAsia"/>
          <w:lang w:val="en-US" w:eastAsia="zh-CN"/>
        </w:rPr>
        <w:t>单位</w:t>
      </w:r>
      <w:r>
        <w:rPr>
          <w:rFonts w:hint="eastAsia"/>
        </w:rPr>
        <w:t>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HYPERLINK  \l "_Toc_2_2_0000000003" </w:instrText>
      </w:r>
      <w:r>
        <w:fldChar w:fldCharType="separate"/>
      </w:r>
      <w:r>
        <w:rPr>
          <w:rFonts w:hint="eastAsia"/>
          <w:lang w:val="en-US" w:eastAsia="zh-CN"/>
        </w:rPr>
        <w:t>单位</w:t>
      </w:r>
      <w:r>
        <w:rPr>
          <w:rFonts w:hint="eastAsia"/>
        </w:rPr>
        <w:t>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HYPERLINK  \l "_Toc_2_2_0000000004" </w:instrText>
      </w:r>
      <w:r>
        <w:fldChar w:fldCharType="separate"/>
      </w:r>
      <w:r>
        <w:rPr>
          <w:rFonts w:hint="eastAsia"/>
          <w:lang w:val="en-US" w:eastAsia="zh-CN"/>
        </w:rPr>
        <w:t>单位</w:t>
      </w:r>
      <w:r>
        <w:rPr>
          <w:rFonts w:hint="eastAsia"/>
        </w:rP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HYPERLINK  \l "_Toc_2_2_0000000005" </w:instrText>
      </w:r>
      <w:r>
        <w:fldChar w:fldCharType="separate"/>
      </w:r>
      <w:r>
        <w:rPr>
          <w:rFonts w:hint="eastAsia"/>
          <w:lang w:val="en-US"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HYPERLINK  \l "_Toc_2_2_0000000006" </w:instrText>
      </w:r>
      <w:r>
        <w:fldChar w:fldCharType="separate"/>
      </w:r>
      <w:r>
        <w:rPr>
          <w:rFonts w:hint="eastAsia"/>
          <w:lang w:val="en-US"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HYPERLINK  \l "_Toc_2_2_0000000007" </w:instrText>
      </w:r>
      <w:r>
        <w:fldChar w:fldCharType="separate"/>
      </w:r>
      <w:r>
        <w:rPr>
          <w:rFonts w:hint="eastAsia"/>
          <w:lang w:val="en-US"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
        <w:tabs>
          <w:tab w:val="right" w:leader="dot" w:pos="14562"/>
        </w:tabs>
      </w:pPr>
      <w:r>
        <w:fldChar w:fldCharType="begin"/>
      </w:r>
      <w:r>
        <w:instrText xml:space="preserve">HYPERLINK  \l "_Toc_2_2_0000000008" </w:instrText>
      </w:r>
      <w:r>
        <w:fldChar w:fldCharType="separate"/>
      </w:r>
      <w:r>
        <w:rPr>
          <w:rFonts w:hint="eastAsia"/>
          <w:lang w:val="en-US"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HYPERLINK  \l "_Toc_2_2_0000000009" </w:instrText>
      </w:r>
      <w:r>
        <w:fldChar w:fldCharType="separate"/>
      </w:r>
      <w:r>
        <w:rPr>
          <w:rFonts w:hint="eastAsia"/>
          <w:lang w:val="en-US"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val="en-US" w:eastAsia="zh-CN"/>
        </w:rPr>
        <w:t>单位</w:t>
      </w:r>
      <w:r>
        <w:rPr>
          <w:rFonts w:hint="eastAsia"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rPr>
          <w:rFonts w:hint="eastAsia"/>
        </w:rPr>
        <w:t>一、</w:t>
      </w:r>
      <w:r>
        <w:rPr>
          <w:rFonts w:hint="eastAsia"/>
          <w:lang w:val="en-US" w:eastAsia="zh-CN"/>
        </w:rPr>
        <w:t>单位</w:t>
      </w:r>
      <w:r>
        <w:rPr>
          <w:rFonts w:hint="eastAsia"/>
        </w:rP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
        <w:tabs>
          <w:tab w:val="right" w:leader="dot" w:pos="14562"/>
        </w:tabs>
      </w:pPr>
      <w:r>
        <w:fldChar w:fldCharType="begin"/>
      </w:r>
      <w:r>
        <w:instrText xml:space="preserve">HYPERLINK  \l "_Toc_3_3_0000000011" </w:instrText>
      </w:r>
      <w:r>
        <w:fldChar w:fldCharType="separate"/>
      </w:r>
      <w:r>
        <w:rPr>
          <w:rFonts w:hint="eastAsia"/>
        </w:rPr>
        <w:t>二、</w:t>
      </w:r>
      <w:r>
        <w:rPr>
          <w:rFonts w:hint="eastAsia"/>
          <w:lang w:val="en-US" w:eastAsia="zh-CN"/>
        </w:rPr>
        <w:t>单位</w:t>
      </w:r>
      <w:r>
        <w:rPr>
          <w:rFonts w:hint="eastAsia"/>
        </w:rPr>
        <w:t>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4"/>
        <w:tabs>
          <w:tab w:val="right" w:leader="dot" w:pos="14562"/>
        </w:tabs>
      </w:pPr>
      <w:r>
        <w:fldChar w:fldCharType="begin"/>
      </w:r>
      <w:r>
        <w:instrText xml:space="preserve">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4"/>
        <w:tabs>
          <w:tab w:val="right" w:leader="dot" w:pos="14562"/>
        </w:tabs>
      </w:pPr>
      <w:r>
        <w:fldChar w:fldCharType="begin"/>
      </w:r>
      <w:r>
        <w:instrText xml:space="preserve">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4"/>
        <w:tabs>
          <w:tab w:val="right" w:leader="dot" w:pos="14562"/>
        </w:tabs>
      </w:pPr>
      <w:r>
        <w:fldChar w:fldCharType="begin"/>
      </w:r>
      <w:r>
        <w:instrText xml:space="preserve">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4"/>
        <w:tabs>
          <w:tab w:val="right" w:leader="dot" w:pos="14562"/>
        </w:tabs>
      </w:pPr>
      <w:r>
        <w:fldChar w:fldCharType="begin"/>
      </w:r>
      <w:r>
        <w:instrText xml:space="preserve">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4"/>
        <w:tabs>
          <w:tab w:val="right" w:leader="dot" w:pos="14562"/>
        </w:tabs>
      </w:pPr>
      <w:r>
        <w:fldChar w:fldCharType="begin"/>
      </w:r>
      <w:r>
        <w:instrText xml:space="preserve">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4"/>
        <w:tabs>
          <w:tab w:val="right" w:leader="dot" w:pos="14562"/>
        </w:tabs>
      </w:pPr>
      <w:r>
        <w:fldChar w:fldCharType="begin"/>
      </w:r>
      <w:r>
        <w:instrText xml:space="preserve">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25</w:t>
      </w:r>
      <w:r>
        <w:fldChar w:fldCharType="end"/>
      </w:r>
      <w:r>
        <w:fldChar w:fldCharType="end"/>
      </w:r>
    </w:p>
    <w:p>
      <w:pPr>
        <w:pStyle w:val="4"/>
        <w:tabs>
          <w:tab w:val="right" w:leader="dot" w:pos="14562"/>
        </w:tabs>
      </w:pPr>
      <w:r>
        <w:fldChar w:fldCharType="begin"/>
      </w:r>
      <w:r>
        <w:instrText xml:space="preserve">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hint="eastAsia" w:ascii="方正小标宋_GBK" w:hAnsi="方正小标宋_GBK" w:eastAsia="方正小标宋_GBK" w:cs="方正小标宋_GBK"/>
          <w:color w:val="000000"/>
          <w:sz w:val="36"/>
        </w:rPr>
      </w:pPr>
      <w:bookmarkStart w:id="0" w:name="_Toc_2_2_0000000001"/>
    </w:p>
    <w:p>
      <w:pPr>
        <w:jc w:val="center"/>
        <w:outlineLvl w:val="1"/>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预算收支总表</w:t>
      </w:r>
      <w:bookmarkEnd w:id="0"/>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112001霸州市统计局本级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pPr>
            <w:r>
              <w:t>726.13</w:t>
            </w:r>
          </w:p>
        </w:tc>
        <w:tc>
          <w:tcPr>
            <w:tcW w:w="4535" w:type="dxa"/>
            <w:vAlign w:val="center"/>
          </w:tcPr>
          <w:p>
            <w:pPr>
              <w:pStyle w:val="14"/>
            </w:pPr>
            <w:r>
              <w:rPr>
                <w:rFonts w:hint="eastAsia"/>
              </w:rPr>
              <w:t>一、一般公共服务支出</w:t>
            </w:r>
          </w:p>
        </w:tc>
        <w:tc>
          <w:tcPr>
            <w:tcW w:w="2126" w:type="dxa"/>
            <w:vAlign w:val="center"/>
          </w:tcPr>
          <w:p>
            <w:pPr>
              <w:pStyle w:val="13"/>
            </w:pPr>
            <w:r>
              <w:t>555.49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117.83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pPr>
            <w:r>
              <w:t>726.13</w:t>
            </w:r>
          </w:p>
        </w:tc>
        <w:tc>
          <w:tcPr>
            <w:tcW w:w="4535" w:type="dxa"/>
            <w:vAlign w:val="center"/>
          </w:tcPr>
          <w:p>
            <w:pPr>
              <w:pStyle w:val="16"/>
            </w:pPr>
            <w:r>
              <w:rPr>
                <w:rFonts w:hint="eastAsia"/>
              </w:rPr>
              <w:t>本年支出合计</w:t>
            </w:r>
          </w:p>
        </w:tc>
        <w:tc>
          <w:tcPr>
            <w:tcW w:w="2126" w:type="dxa"/>
            <w:vAlign w:val="center"/>
          </w:tcPr>
          <w:p>
            <w:pPr>
              <w:pStyle w:val="17"/>
            </w:pPr>
            <w:r>
              <w:t>726.13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pPr>
            <w:r>
              <w:t>726.13</w:t>
            </w:r>
          </w:p>
        </w:tc>
        <w:tc>
          <w:tcPr>
            <w:tcW w:w="4535" w:type="dxa"/>
            <w:vAlign w:val="center"/>
          </w:tcPr>
          <w:p>
            <w:pPr>
              <w:pStyle w:val="16"/>
            </w:pPr>
            <w:r>
              <w:rPr>
                <w:rFonts w:hint="eastAsia"/>
              </w:rPr>
              <w:t>支出总计</w:t>
            </w:r>
          </w:p>
        </w:tc>
        <w:tc>
          <w:tcPr>
            <w:tcW w:w="2126" w:type="dxa"/>
            <w:vAlign w:val="center"/>
          </w:tcPr>
          <w:p>
            <w:pPr>
              <w:pStyle w:val="17"/>
            </w:pPr>
            <w:r>
              <w:t>726.13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112001霸州市统计局本级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vAlign w:val="top"/>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726.13</w:t>
            </w:r>
          </w:p>
        </w:tc>
        <w:tc>
          <w:tcPr>
            <w:tcW w:w="1134" w:type="dxa"/>
            <w:vAlign w:val="center"/>
          </w:tcPr>
          <w:p>
            <w:pPr>
              <w:pStyle w:val="17"/>
            </w:pPr>
            <w:r>
              <w:t>726.13</w:t>
            </w:r>
          </w:p>
        </w:tc>
        <w:tc>
          <w:tcPr>
            <w:tcW w:w="1134" w:type="dxa"/>
            <w:vAlign w:val="center"/>
          </w:tcPr>
          <w:p>
            <w:pPr>
              <w:pStyle w:val="17"/>
            </w:pPr>
            <w:r>
              <w:t>726.13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555.49</w:t>
            </w:r>
          </w:p>
        </w:tc>
        <w:tc>
          <w:tcPr>
            <w:tcW w:w="1134" w:type="dxa"/>
            <w:vAlign w:val="center"/>
          </w:tcPr>
          <w:p>
            <w:pPr>
              <w:pStyle w:val="13"/>
            </w:pPr>
            <w:r>
              <w:t>555.49</w:t>
            </w:r>
          </w:p>
        </w:tc>
        <w:tc>
          <w:tcPr>
            <w:tcW w:w="1134" w:type="dxa"/>
            <w:vAlign w:val="center"/>
          </w:tcPr>
          <w:p>
            <w:pPr>
              <w:pStyle w:val="13"/>
            </w:pPr>
            <w:r>
              <w:t>555.49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rPr>
                <w:rFonts w:hint="eastAsia"/>
              </w:rPr>
              <w:t>统计信息事务</w:t>
            </w:r>
          </w:p>
        </w:tc>
        <w:tc>
          <w:tcPr>
            <w:tcW w:w="1134" w:type="dxa"/>
            <w:vAlign w:val="center"/>
          </w:tcPr>
          <w:p>
            <w:pPr>
              <w:pStyle w:val="13"/>
            </w:pPr>
            <w:r>
              <w:t>555.49</w:t>
            </w:r>
          </w:p>
        </w:tc>
        <w:tc>
          <w:tcPr>
            <w:tcW w:w="1134" w:type="dxa"/>
            <w:vAlign w:val="center"/>
          </w:tcPr>
          <w:p>
            <w:pPr>
              <w:pStyle w:val="13"/>
            </w:pPr>
            <w:r>
              <w:t>555.49</w:t>
            </w:r>
          </w:p>
        </w:tc>
        <w:tc>
          <w:tcPr>
            <w:tcW w:w="1134" w:type="dxa"/>
            <w:vAlign w:val="center"/>
          </w:tcPr>
          <w:p>
            <w:pPr>
              <w:pStyle w:val="13"/>
            </w:pPr>
            <w:r>
              <w:t>555.49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rPr>
                <w:rFonts w:hint="eastAsia"/>
              </w:rPr>
              <w:t>行政运行</w:t>
            </w:r>
          </w:p>
        </w:tc>
        <w:tc>
          <w:tcPr>
            <w:tcW w:w="1134" w:type="dxa"/>
            <w:vAlign w:val="center"/>
          </w:tcPr>
          <w:p>
            <w:pPr>
              <w:pStyle w:val="13"/>
            </w:pPr>
            <w:r>
              <w:t>534.49</w:t>
            </w:r>
          </w:p>
        </w:tc>
        <w:tc>
          <w:tcPr>
            <w:tcW w:w="1134" w:type="dxa"/>
            <w:vAlign w:val="center"/>
          </w:tcPr>
          <w:p>
            <w:pPr>
              <w:pStyle w:val="13"/>
            </w:pPr>
            <w:r>
              <w:t>534.49</w:t>
            </w:r>
          </w:p>
        </w:tc>
        <w:tc>
          <w:tcPr>
            <w:tcW w:w="1134" w:type="dxa"/>
            <w:vAlign w:val="center"/>
          </w:tcPr>
          <w:p>
            <w:pPr>
              <w:pStyle w:val="13"/>
            </w:pPr>
            <w:r>
              <w:t>534.49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2010507</w:t>
            </w:r>
          </w:p>
        </w:tc>
        <w:tc>
          <w:tcPr>
            <w:tcW w:w="1559" w:type="dxa"/>
            <w:vAlign w:val="center"/>
          </w:tcPr>
          <w:p>
            <w:pPr>
              <w:pStyle w:val="14"/>
            </w:pPr>
            <w:r>
              <w:rPr>
                <w:rFonts w:hint="eastAsia"/>
              </w:rPr>
              <w:t>专项普查活动</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117.83</w:t>
            </w:r>
          </w:p>
        </w:tc>
        <w:tc>
          <w:tcPr>
            <w:tcW w:w="1134" w:type="dxa"/>
            <w:vAlign w:val="center"/>
          </w:tcPr>
          <w:p>
            <w:pPr>
              <w:pStyle w:val="13"/>
            </w:pPr>
            <w:r>
              <w:t>117.83</w:t>
            </w:r>
          </w:p>
        </w:tc>
        <w:tc>
          <w:tcPr>
            <w:tcW w:w="1134" w:type="dxa"/>
            <w:vAlign w:val="center"/>
          </w:tcPr>
          <w:p>
            <w:pPr>
              <w:pStyle w:val="13"/>
            </w:pPr>
            <w:r>
              <w:t>117.83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117.83</w:t>
            </w:r>
          </w:p>
        </w:tc>
        <w:tc>
          <w:tcPr>
            <w:tcW w:w="1134" w:type="dxa"/>
            <w:vAlign w:val="center"/>
          </w:tcPr>
          <w:p>
            <w:pPr>
              <w:pStyle w:val="13"/>
            </w:pPr>
            <w:r>
              <w:t>117.83</w:t>
            </w:r>
          </w:p>
        </w:tc>
        <w:tc>
          <w:tcPr>
            <w:tcW w:w="1134" w:type="dxa"/>
            <w:vAlign w:val="center"/>
          </w:tcPr>
          <w:p>
            <w:pPr>
              <w:pStyle w:val="13"/>
            </w:pPr>
            <w:r>
              <w:t>117.83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4.02</w:t>
            </w:r>
          </w:p>
        </w:tc>
        <w:tc>
          <w:tcPr>
            <w:tcW w:w="1134" w:type="dxa"/>
            <w:vAlign w:val="center"/>
          </w:tcPr>
          <w:p>
            <w:pPr>
              <w:pStyle w:val="13"/>
            </w:pPr>
            <w:r>
              <w:t>4.02</w:t>
            </w:r>
          </w:p>
        </w:tc>
        <w:tc>
          <w:tcPr>
            <w:tcW w:w="1134" w:type="dxa"/>
            <w:vAlign w:val="center"/>
          </w:tcPr>
          <w:p>
            <w:pPr>
              <w:pStyle w:val="13"/>
            </w:pPr>
            <w:r>
              <w:t>4.02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17.57</w:t>
            </w:r>
          </w:p>
        </w:tc>
        <w:tc>
          <w:tcPr>
            <w:tcW w:w="1134" w:type="dxa"/>
            <w:vAlign w:val="center"/>
          </w:tcPr>
          <w:p>
            <w:pPr>
              <w:pStyle w:val="13"/>
            </w:pPr>
            <w:r>
              <w:t>17.57</w:t>
            </w:r>
          </w:p>
        </w:tc>
        <w:tc>
          <w:tcPr>
            <w:tcW w:w="1134" w:type="dxa"/>
            <w:vAlign w:val="center"/>
          </w:tcPr>
          <w:p>
            <w:pPr>
              <w:pStyle w:val="13"/>
            </w:pPr>
            <w:r>
              <w:t>17.57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17.57</w:t>
            </w:r>
          </w:p>
        </w:tc>
        <w:tc>
          <w:tcPr>
            <w:tcW w:w="1134" w:type="dxa"/>
            <w:vAlign w:val="center"/>
          </w:tcPr>
          <w:p>
            <w:pPr>
              <w:pStyle w:val="13"/>
            </w:pPr>
            <w:r>
              <w:t>17.57</w:t>
            </w:r>
          </w:p>
        </w:tc>
        <w:tc>
          <w:tcPr>
            <w:tcW w:w="1134" w:type="dxa"/>
            <w:vAlign w:val="center"/>
          </w:tcPr>
          <w:p>
            <w:pPr>
              <w:pStyle w:val="13"/>
            </w:pPr>
            <w:r>
              <w:t>17.57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17.57</w:t>
            </w:r>
          </w:p>
        </w:tc>
        <w:tc>
          <w:tcPr>
            <w:tcW w:w="1134" w:type="dxa"/>
            <w:vAlign w:val="center"/>
          </w:tcPr>
          <w:p>
            <w:pPr>
              <w:pStyle w:val="13"/>
            </w:pPr>
            <w:r>
              <w:t>17.57</w:t>
            </w:r>
          </w:p>
        </w:tc>
        <w:tc>
          <w:tcPr>
            <w:tcW w:w="1134" w:type="dxa"/>
            <w:vAlign w:val="center"/>
          </w:tcPr>
          <w:p>
            <w:pPr>
              <w:pStyle w:val="13"/>
            </w:pPr>
            <w:r>
              <w:t>17.57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35.24</w:t>
            </w:r>
          </w:p>
        </w:tc>
        <w:tc>
          <w:tcPr>
            <w:tcW w:w="1134" w:type="dxa"/>
            <w:vAlign w:val="center"/>
          </w:tcPr>
          <w:p>
            <w:pPr>
              <w:pStyle w:val="13"/>
            </w:pPr>
            <w:r>
              <w:t>35.24</w:t>
            </w:r>
          </w:p>
        </w:tc>
        <w:tc>
          <w:tcPr>
            <w:tcW w:w="1134" w:type="dxa"/>
            <w:vAlign w:val="center"/>
          </w:tcPr>
          <w:p>
            <w:pPr>
              <w:pStyle w:val="13"/>
            </w:pPr>
            <w:r>
              <w:t>35.24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35.24</w:t>
            </w:r>
          </w:p>
        </w:tc>
        <w:tc>
          <w:tcPr>
            <w:tcW w:w="1134" w:type="dxa"/>
            <w:vAlign w:val="center"/>
          </w:tcPr>
          <w:p>
            <w:pPr>
              <w:pStyle w:val="13"/>
            </w:pPr>
            <w:r>
              <w:t>35.24</w:t>
            </w:r>
          </w:p>
        </w:tc>
        <w:tc>
          <w:tcPr>
            <w:tcW w:w="1134" w:type="dxa"/>
            <w:vAlign w:val="center"/>
          </w:tcPr>
          <w:p>
            <w:pPr>
              <w:pStyle w:val="13"/>
            </w:pPr>
            <w:r>
              <w:t>35.24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35.24</w:t>
            </w:r>
          </w:p>
        </w:tc>
        <w:tc>
          <w:tcPr>
            <w:tcW w:w="1134" w:type="dxa"/>
            <w:vAlign w:val="center"/>
          </w:tcPr>
          <w:p>
            <w:pPr>
              <w:pStyle w:val="13"/>
            </w:pPr>
            <w:r>
              <w:t>35.24</w:t>
            </w:r>
          </w:p>
        </w:tc>
        <w:tc>
          <w:tcPr>
            <w:tcW w:w="1134" w:type="dxa"/>
            <w:vAlign w:val="center"/>
          </w:tcPr>
          <w:p>
            <w:pPr>
              <w:pStyle w:val="13"/>
            </w:pPr>
            <w:r>
              <w:t>35.24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预算支出总表</w:t>
      </w:r>
      <w:bookmarkEnd w:id="2"/>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pPr>
            <w:r>
              <w:t>726.13</w:t>
            </w:r>
          </w:p>
        </w:tc>
        <w:tc>
          <w:tcPr>
            <w:tcW w:w="1361" w:type="dxa"/>
            <w:vAlign w:val="center"/>
          </w:tcPr>
          <w:p>
            <w:pPr>
              <w:pStyle w:val="17"/>
            </w:pPr>
            <w:r>
              <w:t>705.13</w:t>
            </w:r>
          </w:p>
        </w:tc>
        <w:tc>
          <w:tcPr>
            <w:tcW w:w="1361" w:type="dxa"/>
            <w:vAlign w:val="center"/>
          </w:tcPr>
          <w:p>
            <w:pPr>
              <w:pStyle w:val="17"/>
            </w:pPr>
            <w:r>
              <w:t>21.00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rPr>
                <w:rFonts w:hint="eastAsia"/>
              </w:rPr>
              <w:t>一般公共服务支出</w:t>
            </w:r>
          </w:p>
        </w:tc>
        <w:tc>
          <w:tcPr>
            <w:tcW w:w="1361" w:type="dxa"/>
            <w:vAlign w:val="center"/>
          </w:tcPr>
          <w:p>
            <w:pPr>
              <w:pStyle w:val="13"/>
            </w:pPr>
            <w:r>
              <w:t>555.49</w:t>
            </w:r>
          </w:p>
        </w:tc>
        <w:tc>
          <w:tcPr>
            <w:tcW w:w="1361" w:type="dxa"/>
            <w:vAlign w:val="center"/>
          </w:tcPr>
          <w:p>
            <w:pPr>
              <w:pStyle w:val="13"/>
            </w:pPr>
            <w:r>
              <w:t>534.49</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rPr>
                <w:rFonts w:hint="eastAsia"/>
              </w:rPr>
              <w:t>统计信息事务</w:t>
            </w:r>
          </w:p>
        </w:tc>
        <w:tc>
          <w:tcPr>
            <w:tcW w:w="1361" w:type="dxa"/>
            <w:vAlign w:val="center"/>
          </w:tcPr>
          <w:p>
            <w:pPr>
              <w:pStyle w:val="13"/>
            </w:pPr>
            <w:r>
              <w:t>555.49</w:t>
            </w:r>
          </w:p>
        </w:tc>
        <w:tc>
          <w:tcPr>
            <w:tcW w:w="1361" w:type="dxa"/>
            <w:vAlign w:val="center"/>
          </w:tcPr>
          <w:p>
            <w:pPr>
              <w:pStyle w:val="13"/>
            </w:pPr>
            <w:r>
              <w:t>534.49</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rPr>
                <w:rFonts w:hint="eastAsia"/>
              </w:rPr>
              <w:t>行政运行</w:t>
            </w:r>
          </w:p>
        </w:tc>
        <w:tc>
          <w:tcPr>
            <w:tcW w:w="1361" w:type="dxa"/>
            <w:vAlign w:val="center"/>
          </w:tcPr>
          <w:p>
            <w:pPr>
              <w:pStyle w:val="13"/>
            </w:pPr>
            <w:r>
              <w:t>534.49</w:t>
            </w:r>
          </w:p>
        </w:tc>
        <w:tc>
          <w:tcPr>
            <w:tcW w:w="1361" w:type="dxa"/>
            <w:vAlign w:val="center"/>
          </w:tcPr>
          <w:p>
            <w:pPr>
              <w:pStyle w:val="13"/>
            </w:pPr>
            <w:r>
              <w:t>534.49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2010507</w:t>
            </w:r>
          </w:p>
        </w:tc>
        <w:tc>
          <w:tcPr>
            <w:tcW w:w="4536" w:type="dxa"/>
            <w:vAlign w:val="center"/>
          </w:tcPr>
          <w:p>
            <w:pPr>
              <w:pStyle w:val="14"/>
            </w:pPr>
            <w:r>
              <w:rPr>
                <w:rFonts w:hint="eastAsia"/>
              </w:rPr>
              <w:t>专项普查活动</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6" w:type="dxa"/>
            <w:vAlign w:val="center"/>
          </w:tcPr>
          <w:p>
            <w:pPr>
              <w:pStyle w:val="14"/>
            </w:pPr>
            <w:r>
              <w:rPr>
                <w:rFonts w:hint="eastAsia"/>
              </w:rPr>
              <w:t>社会保障和就业支出</w:t>
            </w:r>
          </w:p>
        </w:tc>
        <w:tc>
          <w:tcPr>
            <w:tcW w:w="1361" w:type="dxa"/>
            <w:vAlign w:val="center"/>
          </w:tcPr>
          <w:p>
            <w:pPr>
              <w:pStyle w:val="13"/>
            </w:pPr>
            <w:r>
              <w:t>117.83</w:t>
            </w:r>
          </w:p>
        </w:tc>
        <w:tc>
          <w:tcPr>
            <w:tcW w:w="1361" w:type="dxa"/>
            <w:vAlign w:val="center"/>
          </w:tcPr>
          <w:p>
            <w:pPr>
              <w:pStyle w:val="13"/>
            </w:pPr>
            <w:r>
              <w:t>117.83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6" w:type="dxa"/>
            <w:vAlign w:val="center"/>
          </w:tcPr>
          <w:p>
            <w:pPr>
              <w:pStyle w:val="14"/>
            </w:pPr>
            <w:r>
              <w:rPr>
                <w:rFonts w:hint="eastAsia"/>
              </w:rPr>
              <w:t>行政事业单位养老支出</w:t>
            </w:r>
          </w:p>
        </w:tc>
        <w:tc>
          <w:tcPr>
            <w:tcW w:w="1361" w:type="dxa"/>
            <w:vAlign w:val="center"/>
          </w:tcPr>
          <w:p>
            <w:pPr>
              <w:pStyle w:val="13"/>
            </w:pPr>
            <w:r>
              <w:t>117.83</w:t>
            </w:r>
          </w:p>
        </w:tc>
        <w:tc>
          <w:tcPr>
            <w:tcW w:w="1361" w:type="dxa"/>
            <w:vAlign w:val="center"/>
          </w:tcPr>
          <w:p>
            <w:pPr>
              <w:pStyle w:val="13"/>
            </w:pPr>
            <w:r>
              <w:t>117.83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6" w:type="dxa"/>
            <w:vAlign w:val="center"/>
          </w:tcPr>
          <w:p>
            <w:pPr>
              <w:pStyle w:val="14"/>
            </w:pPr>
            <w:r>
              <w:rPr>
                <w:rFonts w:hint="eastAsia"/>
              </w:rPr>
              <w:t>行政单位离退休</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6" w:type="dxa"/>
            <w:vAlign w:val="center"/>
          </w:tcPr>
          <w:p>
            <w:pPr>
              <w:pStyle w:val="14"/>
            </w:pPr>
            <w:r>
              <w:rPr>
                <w:rFonts w:hint="eastAsia"/>
              </w:rPr>
              <w:t>机关事业单位基本养老保险缴费支出</w:t>
            </w:r>
          </w:p>
        </w:tc>
        <w:tc>
          <w:tcPr>
            <w:tcW w:w="1361" w:type="dxa"/>
            <w:vAlign w:val="center"/>
          </w:tcPr>
          <w:p>
            <w:pPr>
              <w:pStyle w:val="13"/>
            </w:pPr>
            <w:r>
              <w:t>46.98</w:t>
            </w:r>
          </w:p>
        </w:tc>
        <w:tc>
          <w:tcPr>
            <w:tcW w:w="1361" w:type="dxa"/>
            <w:vAlign w:val="center"/>
          </w:tcPr>
          <w:p>
            <w:pPr>
              <w:pStyle w:val="13"/>
            </w:pPr>
            <w:r>
              <w:t>46.98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6" w:type="dxa"/>
            <w:vAlign w:val="center"/>
          </w:tcPr>
          <w:p>
            <w:pPr>
              <w:pStyle w:val="14"/>
            </w:pPr>
            <w:r>
              <w:rPr>
                <w:rFonts w:hint="eastAsia"/>
              </w:rPr>
              <w:t>机关事业单位职业年金缴费支出</w:t>
            </w:r>
          </w:p>
        </w:tc>
        <w:tc>
          <w:tcPr>
            <w:tcW w:w="1361" w:type="dxa"/>
            <w:vAlign w:val="center"/>
          </w:tcPr>
          <w:p>
            <w:pPr>
              <w:pStyle w:val="13"/>
            </w:pPr>
            <w:r>
              <w:t>4.02</w:t>
            </w: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rPr>
                <w:rFonts w:hint="eastAsia"/>
              </w:rPr>
              <w:t>卫生健康支出</w:t>
            </w:r>
          </w:p>
        </w:tc>
        <w:tc>
          <w:tcPr>
            <w:tcW w:w="1361" w:type="dxa"/>
            <w:vAlign w:val="center"/>
          </w:tcPr>
          <w:p>
            <w:pPr>
              <w:pStyle w:val="13"/>
            </w:pPr>
            <w:r>
              <w:t>17.57</w:t>
            </w:r>
          </w:p>
        </w:tc>
        <w:tc>
          <w:tcPr>
            <w:tcW w:w="1361" w:type="dxa"/>
            <w:vAlign w:val="center"/>
          </w:tcPr>
          <w:p>
            <w:pPr>
              <w:pStyle w:val="13"/>
            </w:pPr>
            <w:r>
              <w:t>17.57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rPr>
                <w:rFonts w:hint="eastAsia"/>
              </w:rPr>
              <w:t>行政事业单位医疗</w:t>
            </w:r>
          </w:p>
        </w:tc>
        <w:tc>
          <w:tcPr>
            <w:tcW w:w="1361" w:type="dxa"/>
            <w:vAlign w:val="center"/>
          </w:tcPr>
          <w:p>
            <w:pPr>
              <w:pStyle w:val="13"/>
            </w:pPr>
            <w:r>
              <w:t>17.57</w:t>
            </w:r>
          </w:p>
        </w:tc>
        <w:tc>
          <w:tcPr>
            <w:tcW w:w="1361" w:type="dxa"/>
            <w:vAlign w:val="center"/>
          </w:tcPr>
          <w:p>
            <w:pPr>
              <w:pStyle w:val="13"/>
            </w:pPr>
            <w:r>
              <w:t>17.57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6" w:type="dxa"/>
            <w:vAlign w:val="center"/>
          </w:tcPr>
          <w:p>
            <w:pPr>
              <w:pStyle w:val="14"/>
            </w:pPr>
            <w:r>
              <w:rPr>
                <w:rFonts w:hint="eastAsia"/>
              </w:rPr>
              <w:t>行政单位医疗</w:t>
            </w:r>
          </w:p>
        </w:tc>
        <w:tc>
          <w:tcPr>
            <w:tcW w:w="1361" w:type="dxa"/>
            <w:vAlign w:val="center"/>
          </w:tcPr>
          <w:p>
            <w:pPr>
              <w:pStyle w:val="13"/>
            </w:pPr>
            <w:r>
              <w:t>17.57</w:t>
            </w:r>
          </w:p>
        </w:tc>
        <w:tc>
          <w:tcPr>
            <w:tcW w:w="1361" w:type="dxa"/>
            <w:vAlign w:val="center"/>
          </w:tcPr>
          <w:p>
            <w:pPr>
              <w:pStyle w:val="13"/>
            </w:pPr>
            <w:r>
              <w:t>17.57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rPr>
                <w:rFonts w:hint="eastAsia"/>
              </w:rPr>
              <w:t>住房保障支出</w:t>
            </w:r>
          </w:p>
        </w:tc>
        <w:tc>
          <w:tcPr>
            <w:tcW w:w="1361" w:type="dxa"/>
            <w:vAlign w:val="center"/>
          </w:tcPr>
          <w:p>
            <w:pPr>
              <w:pStyle w:val="13"/>
            </w:pPr>
            <w:r>
              <w:t>35.24</w:t>
            </w:r>
          </w:p>
        </w:tc>
        <w:tc>
          <w:tcPr>
            <w:tcW w:w="1361" w:type="dxa"/>
            <w:vAlign w:val="center"/>
          </w:tcPr>
          <w:p>
            <w:pPr>
              <w:pStyle w:val="13"/>
            </w:pPr>
            <w:r>
              <w:t>35.24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rPr>
                <w:rFonts w:hint="eastAsia"/>
              </w:rPr>
              <w:t>住房改革支出</w:t>
            </w:r>
          </w:p>
        </w:tc>
        <w:tc>
          <w:tcPr>
            <w:tcW w:w="1361" w:type="dxa"/>
            <w:vAlign w:val="center"/>
          </w:tcPr>
          <w:p>
            <w:pPr>
              <w:pStyle w:val="13"/>
            </w:pPr>
            <w:r>
              <w:t>35.24</w:t>
            </w:r>
          </w:p>
        </w:tc>
        <w:tc>
          <w:tcPr>
            <w:tcW w:w="1361" w:type="dxa"/>
            <w:vAlign w:val="center"/>
          </w:tcPr>
          <w:p>
            <w:pPr>
              <w:pStyle w:val="13"/>
            </w:pPr>
            <w:r>
              <w:t>35.24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rPr>
                <w:rFonts w:hint="eastAsia"/>
              </w:rPr>
              <w:t>住房公积金</w:t>
            </w:r>
          </w:p>
        </w:tc>
        <w:tc>
          <w:tcPr>
            <w:tcW w:w="1361" w:type="dxa"/>
            <w:vAlign w:val="center"/>
          </w:tcPr>
          <w:p>
            <w:pPr>
              <w:pStyle w:val="13"/>
            </w:pPr>
            <w:r>
              <w:t>35.24</w:t>
            </w:r>
          </w:p>
        </w:tc>
        <w:tc>
          <w:tcPr>
            <w:tcW w:w="1361" w:type="dxa"/>
            <w:vAlign w:val="center"/>
          </w:tcPr>
          <w:p>
            <w:pPr>
              <w:pStyle w:val="13"/>
            </w:pPr>
            <w:r>
              <w:t>35.24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726.13</w:t>
            </w:r>
          </w:p>
        </w:tc>
        <w:tc>
          <w:tcPr>
            <w:tcW w:w="3402" w:type="dxa"/>
            <w:vAlign w:val="center"/>
          </w:tcPr>
          <w:p>
            <w:pPr>
              <w:pStyle w:val="14"/>
            </w:pPr>
            <w:r>
              <w:rPr>
                <w:rFonts w:hint="eastAsia"/>
              </w:rPr>
              <w:t>一、一般公共服务支出</w:t>
            </w:r>
          </w:p>
        </w:tc>
        <w:tc>
          <w:tcPr>
            <w:tcW w:w="1474" w:type="dxa"/>
            <w:vAlign w:val="center"/>
          </w:tcPr>
          <w:p>
            <w:pPr>
              <w:pStyle w:val="13"/>
            </w:pPr>
            <w:r>
              <w:t>555.49</w:t>
            </w:r>
          </w:p>
        </w:tc>
        <w:tc>
          <w:tcPr>
            <w:tcW w:w="1474" w:type="dxa"/>
            <w:vAlign w:val="center"/>
          </w:tcPr>
          <w:p>
            <w:pPr>
              <w:pStyle w:val="13"/>
            </w:pPr>
            <w:r>
              <w:t>555.49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117.83</w:t>
            </w:r>
          </w:p>
        </w:tc>
        <w:tc>
          <w:tcPr>
            <w:tcW w:w="1474" w:type="dxa"/>
            <w:vAlign w:val="center"/>
          </w:tcPr>
          <w:p>
            <w:pPr>
              <w:pStyle w:val="13"/>
            </w:pPr>
            <w:r>
              <w:t>117.83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17.57</w:t>
            </w:r>
          </w:p>
        </w:tc>
        <w:tc>
          <w:tcPr>
            <w:tcW w:w="1474" w:type="dxa"/>
            <w:vAlign w:val="center"/>
          </w:tcPr>
          <w:p>
            <w:pPr>
              <w:pStyle w:val="13"/>
            </w:pPr>
            <w:r>
              <w:t>17.57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35.24</w:t>
            </w:r>
          </w:p>
        </w:tc>
        <w:tc>
          <w:tcPr>
            <w:tcW w:w="1474" w:type="dxa"/>
            <w:vAlign w:val="center"/>
          </w:tcPr>
          <w:p>
            <w:pPr>
              <w:pStyle w:val="13"/>
            </w:pPr>
            <w:r>
              <w:t>35.24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726.13</w:t>
            </w:r>
          </w:p>
        </w:tc>
        <w:tc>
          <w:tcPr>
            <w:tcW w:w="3402" w:type="dxa"/>
            <w:vAlign w:val="center"/>
          </w:tcPr>
          <w:p>
            <w:pPr>
              <w:pStyle w:val="16"/>
            </w:pPr>
            <w:r>
              <w:rPr>
                <w:rFonts w:hint="eastAsia"/>
              </w:rPr>
              <w:t>本年支出合计</w:t>
            </w:r>
          </w:p>
        </w:tc>
        <w:tc>
          <w:tcPr>
            <w:tcW w:w="1474" w:type="dxa"/>
            <w:vAlign w:val="center"/>
          </w:tcPr>
          <w:p>
            <w:pPr>
              <w:pStyle w:val="17"/>
            </w:pPr>
            <w:r>
              <w:t>726.13</w:t>
            </w:r>
          </w:p>
        </w:tc>
        <w:tc>
          <w:tcPr>
            <w:tcW w:w="1474" w:type="dxa"/>
            <w:vAlign w:val="center"/>
          </w:tcPr>
          <w:p>
            <w:pPr>
              <w:pStyle w:val="17"/>
            </w:pPr>
            <w:r>
              <w:t>726.13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726.13</w:t>
            </w:r>
          </w:p>
        </w:tc>
        <w:tc>
          <w:tcPr>
            <w:tcW w:w="3402" w:type="dxa"/>
            <w:vAlign w:val="center"/>
          </w:tcPr>
          <w:p>
            <w:pPr>
              <w:pStyle w:val="16"/>
            </w:pPr>
            <w:r>
              <w:rPr>
                <w:rFonts w:hint="eastAsia"/>
              </w:rPr>
              <w:t>支出总计</w:t>
            </w:r>
          </w:p>
        </w:tc>
        <w:tc>
          <w:tcPr>
            <w:tcW w:w="1474" w:type="dxa"/>
            <w:vAlign w:val="center"/>
          </w:tcPr>
          <w:p>
            <w:pPr>
              <w:pStyle w:val="17"/>
            </w:pPr>
            <w:r>
              <w:t>726.13</w:t>
            </w:r>
          </w:p>
        </w:tc>
        <w:tc>
          <w:tcPr>
            <w:tcW w:w="1474" w:type="dxa"/>
            <w:vAlign w:val="center"/>
          </w:tcPr>
          <w:p>
            <w:pPr>
              <w:pStyle w:val="17"/>
            </w:pPr>
            <w:r>
              <w:t>726.13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726.13</w:t>
            </w:r>
          </w:p>
        </w:tc>
        <w:tc>
          <w:tcPr>
            <w:tcW w:w="2551" w:type="dxa"/>
            <w:vAlign w:val="center"/>
          </w:tcPr>
          <w:p>
            <w:pPr>
              <w:pStyle w:val="17"/>
            </w:pPr>
            <w:r>
              <w:t>705.13</w:t>
            </w:r>
          </w:p>
        </w:tc>
        <w:tc>
          <w:tcPr>
            <w:tcW w:w="2551" w:type="dxa"/>
            <w:vAlign w:val="center"/>
          </w:tcPr>
          <w:p>
            <w:pPr>
              <w:pStyle w:val="17"/>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555.49</w:t>
            </w:r>
          </w:p>
        </w:tc>
        <w:tc>
          <w:tcPr>
            <w:tcW w:w="2551" w:type="dxa"/>
            <w:vAlign w:val="center"/>
          </w:tcPr>
          <w:p>
            <w:pPr>
              <w:pStyle w:val="13"/>
            </w:pPr>
            <w:r>
              <w:t>534.49</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rPr>
                <w:rFonts w:hint="eastAsia"/>
              </w:rPr>
              <w:t>统计信息事务</w:t>
            </w:r>
          </w:p>
        </w:tc>
        <w:tc>
          <w:tcPr>
            <w:tcW w:w="2551" w:type="dxa"/>
            <w:vAlign w:val="center"/>
          </w:tcPr>
          <w:p>
            <w:pPr>
              <w:pStyle w:val="13"/>
            </w:pPr>
            <w:r>
              <w:t>555.49</w:t>
            </w:r>
          </w:p>
        </w:tc>
        <w:tc>
          <w:tcPr>
            <w:tcW w:w="2551" w:type="dxa"/>
            <w:vAlign w:val="center"/>
          </w:tcPr>
          <w:p>
            <w:pPr>
              <w:pStyle w:val="13"/>
            </w:pPr>
            <w:r>
              <w:t>534.49</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rPr>
                <w:rFonts w:hint="eastAsia"/>
              </w:rPr>
              <w:t>行政运行</w:t>
            </w:r>
          </w:p>
        </w:tc>
        <w:tc>
          <w:tcPr>
            <w:tcW w:w="2551" w:type="dxa"/>
            <w:vAlign w:val="center"/>
          </w:tcPr>
          <w:p>
            <w:pPr>
              <w:pStyle w:val="13"/>
            </w:pPr>
            <w:r>
              <w:t>534.49</w:t>
            </w:r>
          </w:p>
        </w:tc>
        <w:tc>
          <w:tcPr>
            <w:tcW w:w="2551" w:type="dxa"/>
            <w:vAlign w:val="center"/>
          </w:tcPr>
          <w:p>
            <w:pPr>
              <w:pStyle w:val="13"/>
            </w:pPr>
            <w:r>
              <w:t>534.49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2010507</w:t>
            </w:r>
          </w:p>
        </w:tc>
        <w:tc>
          <w:tcPr>
            <w:tcW w:w="4535" w:type="dxa"/>
            <w:vAlign w:val="center"/>
          </w:tcPr>
          <w:p>
            <w:pPr>
              <w:pStyle w:val="14"/>
            </w:pPr>
            <w:r>
              <w:rPr>
                <w:rFonts w:hint="eastAsia"/>
              </w:rPr>
              <w:t>专项普查活动</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117.83</w:t>
            </w:r>
          </w:p>
        </w:tc>
        <w:tc>
          <w:tcPr>
            <w:tcW w:w="2551" w:type="dxa"/>
            <w:vAlign w:val="center"/>
          </w:tcPr>
          <w:p>
            <w:pPr>
              <w:pStyle w:val="13"/>
            </w:pPr>
            <w:r>
              <w:t>117.83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117.83</w:t>
            </w:r>
          </w:p>
        </w:tc>
        <w:tc>
          <w:tcPr>
            <w:tcW w:w="2551" w:type="dxa"/>
            <w:vAlign w:val="center"/>
          </w:tcPr>
          <w:p>
            <w:pPr>
              <w:pStyle w:val="13"/>
            </w:pPr>
            <w:r>
              <w:t>117.83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4.02</w:t>
            </w:r>
          </w:p>
        </w:tc>
        <w:tc>
          <w:tcPr>
            <w:tcW w:w="2551" w:type="dxa"/>
            <w:vAlign w:val="center"/>
          </w:tcPr>
          <w:p>
            <w:pPr>
              <w:pStyle w:val="13"/>
            </w:pPr>
            <w:r>
              <w:t>4.02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17.57</w:t>
            </w:r>
          </w:p>
        </w:tc>
        <w:tc>
          <w:tcPr>
            <w:tcW w:w="2551" w:type="dxa"/>
            <w:vAlign w:val="center"/>
          </w:tcPr>
          <w:p>
            <w:pPr>
              <w:pStyle w:val="13"/>
            </w:pPr>
            <w:r>
              <w:t>17.57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17.57</w:t>
            </w:r>
          </w:p>
        </w:tc>
        <w:tc>
          <w:tcPr>
            <w:tcW w:w="2551" w:type="dxa"/>
            <w:vAlign w:val="center"/>
          </w:tcPr>
          <w:p>
            <w:pPr>
              <w:pStyle w:val="13"/>
            </w:pPr>
            <w:r>
              <w:t>17.57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17.57</w:t>
            </w:r>
          </w:p>
        </w:tc>
        <w:tc>
          <w:tcPr>
            <w:tcW w:w="2551" w:type="dxa"/>
            <w:vAlign w:val="center"/>
          </w:tcPr>
          <w:p>
            <w:pPr>
              <w:pStyle w:val="13"/>
            </w:pPr>
            <w:r>
              <w:t>17.57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35.24</w:t>
            </w:r>
          </w:p>
        </w:tc>
        <w:tc>
          <w:tcPr>
            <w:tcW w:w="2551" w:type="dxa"/>
            <w:vAlign w:val="center"/>
          </w:tcPr>
          <w:p>
            <w:pPr>
              <w:pStyle w:val="13"/>
            </w:pPr>
            <w:r>
              <w:t>35.24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35.24</w:t>
            </w:r>
          </w:p>
        </w:tc>
        <w:tc>
          <w:tcPr>
            <w:tcW w:w="2551" w:type="dxa"/>
            <w:vAlign w:val="center"/>
          </w:tcPr>
          <w:p>
            <w:pPr>
              <w:pStyle w:val="13"/>
            </w:pPr>
            <w:r>
              <w:t>35.24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35.24</w:t>
            </w:r>
          </w:p>
        </w:tc>
        <w:tc>
          <w:tcPr>
            <w:tcW w:w="2551" w:type="dxa"/>
            <w:vAlign w:val="center"/>
          </w:tcPr>
          <w:p>
            <w:pPr>
              <w:pStyle w:val="13"/>
            </w:pPr>
            <w:r>
              <w:t>35.24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705.13</w:t>
            </w:r>
          </w:p>
        </w:tc>
        <w:tc>
          <w:tcPr>
            <w:tcW w:w="2551" w:type="dxa"/>
            <w:vAlign w:val="center"/>
          </w:tcPr>
          <w:p>
            <w:pPr>
              <w:pStyle w:val="17"/>
            </w:pPr>
            <w:r>
              <w:t>626.50</w:t>
            </w:r>
          </w:p>
        </w:tc>
        <w:tc>
          <w:tcPr>
            <w:tcW w:w="2552" w:type="dxa"/>
            <w:vAlign w:val="center"/>
          </w:tcPr>
          <w:p>
            <w:pPr>
              <w:pStyle w:val="17"/>
            </w:pPr>
            <w:r>
              <w:t>78.63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515.37</w:t>
            </w:r>
          </w:p>
        </w:tc>
        <w:tc>
          <w:tcPr>
            <w:tcW w:w="2551" w:type="dxa"/>
            <w:vAlign w:val="center"/>
          </w:tcPr>
          <w:p>
            <w:pPr>
              <w:pStyle w:val="13"/>
            </w:pPr>
            <w:r>
              <w:t>515.37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160.00</w:t>
            </w:r>
          </w:p>
        </w:tc>
        <w:tc>
          <w:tcPr>
            <w:tcW w:w="2551" w:type="dxa"/>
            <w:vAlign w:val="center"/>
          </w:tcPr>
          <w:p>
            <w:pPr>
              <w:pStyle w:val="13"/>
            </w:pPr>
            <w:r>
              <w:t>160.00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110.05</w:t>
            </w:r>
          </w:p>
        </w:tc>
        <w:tc>
          <w:tcPr>
            <w:tcW w:w="2551" w:type="dxa"/>
            <w:vAlign w:val="center"/>
          </w:tcPr>
          <w:p>
            <w:pPr>
              <w:pStyle w:val="13"/>
            </w:pPr>
            <w:r>
              <w:t>110.05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48.30</w:t>
            </w:r>
          </w:p>
        </w:tc>
        <w:tc>
          <w:tcPr>
            <w:tcW w:w="2551" w:type="dxa"/>
            <w:vAlign w:val="center"/>
          </w:tcPr>
          <w:p>
            <w:pPr>
              <w:pStyle w:val="13"/>
            </w:pPr>
            <w:r>
              <w:t>48.30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91.74</w:t>
            </w:r>
          </w:p>
        </w:tc>
        <w:tc>
          <w:tcPr>
            <w:tcW w:w="2551" w:type="dxa"/>
            <w:vAlign w:val="center"/>
          </w:tcPr>
          <w:p>
            <w:pPr>
              <w:pStyle w:val="13"/>
            </w:pPr>
            <w:r>
              <w:t>91.74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46.98</w:t>
            </w:r>
          </w:p>
        </w:tc>
        <w:tc>
          <w:tcPr>
            <w:tcW w:w="2551" w:type="dxa"/>
            <w:vAlign w:val="center"/>
          </w:tcPr>
          <w:p>
            <w:pPr>
              <w:pStyle w:val="13"/>
            </w:pPr>
            <w:r>
              <w:t>46.98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4.02</w:t>
            </w:r>
          </w:p>
        </w:tc>
        <w:tc>
          <w:tcPr>
            <w:tcW w:w="2551" w:type="dxa"/>
            <w:vAlign w:val="center"/>
          </w:tcPr>
          <w:p>
            <w:pPr>
              <w:pStyle w:val="13"/>
            </w:pPr>
            <w:r>
              <w:t>4.02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17.57</w:t>
            </w:r>
          </w:p>
        </w:tc>
        <w:tc>
          <w:tcPr>
            <w:tcW w:w="2551" w:type="dxa"/>
            <w:vAlign w:val="center"/>
          </w:tcPr>
          <w:p>
            <w:pPr>
              <w:pStyle w:val="13"/>
            </w:pPr>
            <w:r>
              <w:t>17.57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1.47</w:t>
            </w:r>
          </w:p>
        </w:tc>
        <w:tc>
          <w:tcPr>
            <w:tcW w:w="2551" w:type="dxa"/>
            <w:vAlign w:val="center"/>
          </w:tcPr>
          <w:p>
            <w:pPr>
              <w:pStyle w:val="13"/>
            </w:pPr>
            <w:r>
              <w:t>1.47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35.24</w:t>
            </w:r>
          </w:p>
        </w:tc>
        <w:tc>
          <w:tcPr>
            <w:tcW w:w="2551" w:type="dxa"/>
            <w:vAlign w:val="center"/>
          </w:tcPr>
          <w:p>
            <w:pPr>
              <w:pStyle w:val="13"/>
            </w:pPr>
            <w:r>
              <w:t>35.24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78.33</w:t>
            </w:r>
          </w:p>
        </w:tc>
        <w:tc>
          <w:tcPr>
            <w:tcW w:w="2551" w:type="dxa"/>
            <w:vAlign w:val="center"/>
          </w:tcPr>
          <w:p>
            <w:pPr>
              <w:pStyle w:val="13"/>
            </w:pPr>
          </w:p>
        </w:tc>
        <w:tc>
          <w:tcPr>
            <w:tcW w:w="2552" w:type="dxa"/>
            <w:vAlign w:val="center"/>
          </w:tcPr>
          <w:p>
            <w:pPr>
              <w:pStyle w:val="13"/>
            </w:pPr>
            <w:r>
              <w:t>78.33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3.73</w:t>
            </w:r>
          </w:p>
        </w:tc>
        <w:tc>
          <w:tcPr>
            <w:tcW w:w="2551" w:type="dxa"/>
            <w:vAlign w:val="center"/>
          </w:tcPr>
          <w:p>
            <w:pPr>
              <w:pStyle w:val="13"/>
            </w:pPr>
          </w:p>
        </w:tc>
        <w:tc>
          <w:tcPr>
            <w:tcW w:w="2552" w:type="dxa"/>
            <w:vAlign w:val="center"/>
          </w:tcPr>
          <w:p>
            <w:pPr>
              <w:pStyle w:val="13"/>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6.11</w:t>
            </w:r>
          </w:p>
        </w:tc>
        <w:tc>
          <w:tcPr>
            <w:tcW w:w="2551" w:type="dxa"/>
            <w:vAlign w:val="center"/>
          </w:tcPr>
          <w:p>
            <w:pPr>
              <w:pStyle w:val="13"/>
            </w:pPr>
          </w:p>
        </w:tc>
        <w:tc>
          <w:tcPr>
            <w:tcW w:w="2552" w:type="dxa"/>
            <w:vAlign w:val="center"/>
          </w:tcPr>
          <w:p>
            <w:pPr>
              <w:pStyle w:val="13"/>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1.23</w:t>
            </w:r>
          </w:p>
        </w:tc>
        <w:tc>
          <w:tcPr>
            <w:tcW w:w="2551" w:type="dxa"/>
            <w:vAlign w:val="center"/>
          </w:tcPr>
          <w:p>
            <w:pPr>
              <w:pStyle w:val="13"/>
            </w:pPr>
          </w:p>
        </w:tc>
        <w:tc>
          <w:tcPr>
            <w:tcW w:w="2552" w:type="dxa"/>
            <w:vAlign w:val="center"/>
          </w:tcPr>
          <w:p>
            <w:pPr>
              <w:pStyle w:val="13"/>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3.28</w:t>
            </w:r>
          </w:p>
        </w:tc>
        <w:tc>
          <w:tcPr>
            <w:tcW w:w="2551" w:type="dxa"/>
            <w:vAlign w:val="center"/>
          </w:tcPr>
          <w:p>
            <w:pPr>
              <w:pStyle w:val="13"/>
            </w:pPr>
          </w:p>
        </w:tc>
        <w:tc>
          <w:tcPr>
            <w:tcW w:w="2552" w:type="dxa"/>
            <w:vAlign w:val="center"/>
          </w:tcPr>
          <w:p>
            <w:pPr>
              <w:pStyle w:val="13"/>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23.21</w:t>
            </w:r>
          </w:p>
        </w:tc>
        <w:tc>
          <w:tcPr>
            <w:tcW w:w="2551" w:type="dxa"/>
            <w:vAlign w:val="center"/>
          </w:tcPr>
          <w:p>
            <w:pPr>
              <w:pStyle w:val="13"/>
            </w:pPr>
          </w:p>
        </w:tc>
        <w:tc>
          <w:tcPr>
            <w:tcW w:w="2552" w:type="dxa"/>
            <w:vAlign w:val="center"/>
          </w:tcPr>
          <w:p>
            <w:pPr>
              <w:pStyle w:val="13"/>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1.90</w:t>
            </w:r>
          </w:p>
        </w:tc>
        <w:tc>
          <w:tcPr>
            <w:tcW w:w="2551" w:type="dxa"/>
            <w:vAlign w:val="center"/>
          </w:tcPr>
          <w:p>
            <w:pPr>
              <w:pStyle w:val="13"/>
            </w:pPr>
          </w:p>
        </w:tc>
        <w:tc>
          <w:tcPr>
            <w:tcW w:w="2552"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4.10</w:t>
            </w:r>
          </w:p>
        </w:tc>
        <w:tc>
          <w:tcPr>
            <w:tcW w:w="2551" w:type="dxa"/>
            <w:vAlign w:val="center"/>
          </w:tcPr>
          <w:p>
            <w:pPr>
              <w:pStyle w:val="13"/>
            </w:pPr>
          </w:p>
        </w:tc>
        <w:tc>
          <w:tcPr>
            <w:tcW w:w="2552"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3.21</w:t>
            </w:r>
          </w:p>
        </w:tc>
        <w:tc>
          <w:tcPr>
            <w:tcW w:w="2551" w:type="dxa"/>
            <w:vAlign w:val="center"/>
          </w:tcPr>
          <w:p>
            <w:pPr>
              <w:pStyle w:val="13"/>
            </w:pPr>
          </w:p>
        </w:tc>
        <w:tc>
          <w:tcPr>
            <w:tcW w:w="2552" w:type="dxa"/>
            <w:vAlign w:val="center"/>
          </w:tcPr>
          <w:p>
            <w:pPr>
              <w:pStyle w:val="13"/>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1.23</w:t>
            </w:r>
          </w:p>
        </w:tc>
        <w:tc>
          <w:tcPr>
            <w:tcW w:w="2551" w:type="dxa"/>
            <w:vAlign w:val="center"/>
          </w:tcPr>
          <w:p>
            <w:pPr>
              <w:pStyle w:val="13"/>
            </w:pPr>
          </w:p>
        </w:tc>
        <w:tc>
          <w:tcPr>
            <w:tcW w:w="2552" w:type="dxa"/>
            <w:vAlign w:val="center"/>
          </w:tcPr>
          <w:p>
            <w:pPr>
              <w:pStyle w:val="13"/>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30214</w:t>
            </w:r>
          </w:p>
        </w:tc>
        <w:tc>
          <w:tcPr>
            <w:tcW w:w="4535" w:type="dxa"/>
            <w:vAlign w:val="center"/>
          </w:tcPr>
          <w:p>
            <w:pPr>
              <w:pStyle w:val="14"/>
            </w:pPr>
            <w:r>
              <w:rPr>
                <w:rFonts w:hint="eastAsia"/>
              </w:rPr>
              <w:t>租赁费</w:t>
            </w:r>
          </w:p>
        </w:tc>
        <w:tc>
          <w:tcPr>
            <w:tcW w:w="2551" w:type="dxa"/>
            <w:vAlign w:val="center"/>
          </w:tcPr>
          <w:p>
            <w:pPr>
              <w:pStyle w:val="13"/>
            </w:pPr>
            <w:r>
              <w:t>1.20</w:t>
            </w:r>
          </w:p>
        </w:tc>
        <w:tc>
          <w:tcPr>
            <w:tcW w:w="2551" w:type="dxa"/>
            <w:vAlign w:val="center"/>
          </w:tcPr>
          <w:p>
            <w:pPr>
              <w:pStyle w:val="13"/>
            </w:pPr>
          </w:p>
        </w:tc>
        <w:tc>
          <w:tcPr>
            <w:tcW w:w="2552"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1.96</w:t>
            </w:r>
          </w:p>
        </w:tc>
        <w:tc>
          <w:tcPr>
            <w:tcW w:w="2551" w:type="dxa"/>
            <w:vAlign w:val="center"/>
          </w:tcPr>
          <w:p>
            <w:pPr>
              <w:pStyle w:val="13"/>
            </w:pPr>
          </w:p>
        </w:tc>
        <w:tc>
          <w:tcPr>
            <w:tcW w:w="2552" w:type="dxa"/>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0.42</w:t>
            </w:r>
          </w:p>
        </w:tc>
        <w:tc>
          <w:tcPr>
            <w:tcW w:w="2551" w:type="dxa"/>
            <w:vAlign w:val="center"/>
          </w:tcPr>
          <w:p>
            <w:pPr>
              <w:pStyle w:val="13"/>
            </w:pPr>
          </w:p>
        </w:tc>
        <w:tc>
          <w:tcPr>
            <w:tcW w:w="2552"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5.70</w:t>
            </w:r>
          </w:p>
        </w:tc>
        <w:tc>
          <w:tcPr>
            <w:tcW w:w="2551" w:type="dxa"/>
            <w:vAlign w:val="center"/>
          </w:tcPr>
          <w:p>
            <w:pPr>
              <w:pStyle w:val="13"/>
            </w:pPr>
          </w:p>
        </w:tc>
        <w:tc>
          <w:tcPr>
            <w:tcW w:w="2552" w:type="dxa"/>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3.79</w:t>
            </w:r>
          </w:p>
        </w:tc>
        <w:tc>
          <w:tcPr>
            <w:tcW w:w="2551" w:type="dxa"/>
            <w:vAlign w:val="center"/>
          </w:tcPr>
          <w:p>
            <w:pPr>
              <w:pStyle w:val="13"/>
            </w:pPr>
          </w:p>
        </w:tc>
        <w:tc>
          <w:tcPr>
            <w:tcW w:w="2552" w:type="dxa"/>
            <w:vAlign w:val="center"/>
          </w:tcPr>
          <w:p>
            <w:pPr>
              <w:pStyle w:val="13"/>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2.38</w:t>
            </w:r>
          </w:p>
        </w:tc>
        <w:tc>
          <w:tcPr>
            <w:tcW w:w="2551" w:type="dxa"/>
            <w:vAlign w:val="center"/>
          </w:tcPr>
          <w:p>
            <w:pPr>
              <w:pStyle w:val="13"/>
            </w:pPr>
          </w:p>
        </w:tc>
        <w:tc>
          <w:tcPr>
            <w:tcW w:w="2552"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14.88</w:t>
            </w:r>
          </w:p>
        </w:tc>
        <w:tc>
          <w:tcPr>
            <w:tcW w:w="2551" w:type="dxa"/>
            <w:vAlign w:val="center"/>
          </w:tcPr>
          <w:p>
            <w:pPr>
              <w:pStyle w:val="13"/>
            </w:pPr>
          </w:p>
        </w:tc>
        <w:tc>
          <w:tcPr>
            <w:tcW w:w="2552" w:type="dxa"/>
            <w:vAlign w:val="center"/>
          </w:tcPr>
          <w:p>
            <w:pPr>
              <w:pStyle w:val="13"/>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111.13</w:t>
            </w:r>
          </w:p>
        </w:tc>
        <w:tc>
          <w:tcPr>
            <w:tcW w:w="2551" w:type="dxa"/>
            <w:vAlign w:val="center"/>
          </w:tcPr>
          <w:p>
            <w:pPr>
              <w:pStyle w:val="13"/>
            </w:pPr>
            <w:r>
              <w:t>111.13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66.83</w:t>
            </w:r>
          </w:p>
        </w:tc>
        <w:tc>
          <w:tcPr>
            <w:tcW w:w="2551" w:type="dxa"/>
            <w:vAlign w:val="center"/>
          </w:tcPr>
          <w:p>
            <w:pPr>
              <w:pStyle w:val="13"/>
            </w:pPr>
            <w:r>
              <w:t>66.83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30307</w:t>
            </w:r>
          </w:p>
        </w:tc>
        <w:tc>
          <w:tcPr>
            <w:tcW w:w="4535" w:type="dxa"/>
            <w:vAlign w:val="center"/>
          </w:tcPr>
          <w:p>
            <w:pPr>
              <w:pStyle w:val="14"/>
            </w:pPr>
            <w:r>
              <w:rPr>
                <w:rFonts w:hint="eastAsia"/>
              </w:rPr>
              <w:t>医疗费补助</w:t>
            </w:r>
          </w:p>
        </w:tc>
        <w:tc>
          <w:tcPr>
            <w:tcW w:w="2551" w:type="dxa"/>
            <w:vAlign w:val="center"/>
          </w:tcPr>
          <w:p>
            <w:pPr>
              <w:pStyle w:val="13"/>
            </w:pPr>
            <w:r>
              <w:t>44.22</w:t>
            </w:r>
          </w:p>
        </w:tc>
        <w:tc>
          <w:tcPr>
            <w:tcW w:w="2551" w:type="dxa"/>
            <w:vAlign w:val="center"/>
          </w:tcPr>
          <w:p>
            <w:pPr>
              <w:pStyle w:val="13"/>
            </w:pPr>
            <w:r>
              <w:t>44.22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0.08</w:t>
            </w:r>
          </w:p>
        </w:tc>
        <w:tc>
          <w:tcPr>
            <w:tcW w:w="2551" w:type="dxa"/>
            <w:vAlign w:val="center"/>
          </w:tcPr>
          <w:p>
            <w:pPr>
              <w:pStyle w:val="13"/>
            </w:pPr>
            <w:r>
              <w:t>0.08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112001霸州市统计局本级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2" w:type="dxa"/>
            <w:vAlign w:val="center"/>
          </w:tcPr>
          <w:p>
            <w:pPr>
              <w:pStyle w:val="17"/>
              <w:jc w:val="right"/>
              <w:rPr>
                <w:rFonts w:hint="eastAsia" w:eastAsia="方正书宋_GBK"/>
                <w:lang w:val="en-US" w:eastAsia="zh-CN"/>
              </w:rPr>
            </w:pPr>
            <w:r>
              <w:rPr>
                <w:rFonts w:hint="eastAsia"/>
                <w:lang w:val="en-US" w:eastAsia="zh-CN"/>
              </w:rPr>
              <w:t>2.80</w:t>
            </w:r>
          </w:p>
        </w:tc>
        <w:tc>
          <w:tcPr>
            <w:tcW w:w="2381" w:type="dxa"/>
            <w:vAlign w:val="center"/>
          </w:tcPr>
          <w:p>
            <w:pPr>
              <w:pStyle w:val="17"/>
              <w:jc w:val="right"/>
              <w:rPr>
                <w:rFonts w:hint="eastAsia" w:eastAsia="方正书宋_GBK"/>
                <w:lang w:val="en-US" w:eastAsia="zh-CN"/>
              </w:rPr>
            </w:pPr>
            <w:r>
              <w:rPr>
                <w:rFonts w:hint="eastAsia"/>
                <w:lang w:val="en-US" w:eastAsia="zh-CN"/>
              </w:rPr>
              <w:t>2.80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3798" w:type="dxa"/>
            <w:vAlign w:val="center"/>
          </w:tcPr>
          <w:p>
            <w:pPr>
              <w:pStyle w:val="14"/>
            </w:pPr>
            <w:r>
              <w:rPr>
                <w:rFonts w:hint="eastAsia"/>
              </w:rP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3</w:t>
            </w:r>
          </w:p>
        </w:tc>
        <w:tc>
          <w:tcPr>
            <w:tcW w:w="3798" w:type="dxa"/>
            <w:vAlign w:val="center"/>
          </w:tcPr>
          <w:p>
            <w:pPr>
              <w:pStyle w:val="14"/>
            </w:pPr>
            <w:r>
              <w:t xml:space="preserve">    </w:t>
            </w:r>
            <w:r>
              <w:rPr>
                <w:rFonts w:hint="eastAsia"/>
              </w:rPr>
              <w:t>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4</w:t>
            </w:r>
          </w:p>
        </w:tc>
        <w:tc>
          <w:tcPr>
            <w:tcW w:w="3798" w:type="dxa"/>
            <w:vAlign w:val="center"/>
          </w:tcPr>
          <w:p>
            <w:pPr>
              <w:pStyle w:val="14"/>
            </w:pPr>
            <w:r>
              <w:t xml:space="preserve">          </w:t>
            </w:r>
            <w:r>
              <w:rPr>
                <w:rFonts w:hint="eastAsia"/>
              </w:rPr>
              <w:t>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5</w:t>
            </w:r>
          </w:p>
        </w:tc>
        <w:tc>
          <w:tcPr>
            <w:tcW w:w="3798" w:type="dxa"/>
            <w:vAlign w:val="center"/>
          </w:tcPr>
          <w:p>
            <w:pPr>
              <w:pStyle w:val="14"/>
            </w:pPr>
            <w:r>
              <w:rPr>
                <w:rFonts w:hint="eastAsia"/>
              </w:rPr>
              <w:t>二、公务用车购置及运维费</w:t>
            </w:r>
          </w:p>
        </w:tc>
        <w:tc>
          <w:tcPr>
            <w:tcW w:w="2382" w:type="dxa"/>
            <w:vAlign w:val="center"/>
          </w:tcPr>
          <w:p>
            <w:pPr>
              <w:pStyle w:val="13"/>
            </w:pPr>
            <w:r>
              <w:t>2.38</w:t>
            </w:r>
          </w:p>
        </w:tc>
        <w:tc>
          <w:tcPr>
            <w:tcW w:w="2381" w:type="dxa"/>
            <w:vAlign w:val="center"/>
          </w:tcPr>
          <w:p>
            <w:pPr>
              <w:pStyle w:val="13"/>
            </w:pPr>
            <w:r>
              <w:t>2.38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6</w:t>
            </w:r>
          </w:p>
        </w:tc>
        <w:tc>
          <w:tcPr>
            <w:tcW w:w="3798" w:type="dxa"/>
            <w:vAlign w:val="center"/>
          </w:tcPr>
          <w:p>
            <w:pPr>
              <w:pStyle w:val="14"/>
            </w:pPr>
            <w:r>
              <w:t xml:space="preserve">    </w:t>
            </w:r>
            <w:r>
              <w:rPr>
                <w:rFonts w:hint="eastAsia"/>
              </w:rPr>
              <w:t>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7</w:t>
            </w:r>
          </w:p>
        </w:tc>
        <w:tc>
          <w:tcPr>
            <w:tcW w:w="3798" w:type="dxa"/>
            <w:vAlign w:val="center"/>
          </w:tcPr>
          <w:p>
            <w:pPr>
              <w:pStyle w:val="14"/>
            </w:pPr>
            <w:r>
              <w:t xml:space="preserve">          </w:t>
            </w:r>
            <w:r>
              <w:rPr>
                <w:rFonts w:hint="eastAsia"/>
              </w:rPr>
              <w:t>公务用车运行维护费</w:t>
            </w:r>
          </w:p>
        </w:tc>
        <w:tc>
          <w:tcPr>
            <w:tcW w:w="2382" w:type="dxa"/>
            <w:vAlign w:val="center"/>
          </w:tcPr>
          <w:p>
            <w:pPr>
              <w:pStyle w:val="13"/>
            </w:pPr>
            <w:r>
              <w:t>2.38</w:t>
            </w:r>
          </w:p>
        </w:tc>
        <w:tc>
          <w:tcPr>
            <w:tcW w:w="2381" w:type="dxa"/>
            <w:vAlign w:val="center"/>
          </w:tcPr>
          <w:p>
            <w:pPr>
              <w:pStyle w:val="13"/>
            </w:pPr>
            <w:r>
              <w:t>2.38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8</w:t>
            </w:r>
          </w:p>
        </w:tc>
        <w:tc>
          <w:tcPr>
            <w:tcW w:w="3798" w:type="dxa"/>
            <w:vAlign w:val="center"/>
          </w:tcPr>
          <w:p>
            <w:pPr>
              <w:pStyle w:val="14"/>
            </w:pPr>
            <w:r>
              <w:rPr>
                <w:rFonts w:hint="eastAsia"/>
              </w:rPr>
              <w:t>三、公务接待费</w:t>
            </w:r>
          </w:p>
        </w:tc>
        <w:tc>
          <w:tcPr>
            <w:tcW w:w="2382" w:type="dxa"/>
            <w:vAlign w:val="center"/>
          </w:tcPr>
          <w:p>
            <w:pPr>
              <w:pStyle w:val="13"/>
            </w:pPr>
            <w:r>
              <w:t>0.42</w:t>
            </w:r>
          </w:p>
        </w:tc>
        <w:tc>
          <w:tcPr>
            <w:tcW w:w="2381" w:type="dxa"/>
            <w:vAlign w:val="center"/>
          </w:tcPr>
          <w:p>
            <w:pPr>
              <w:pStyle w:val="13"/>
            </w:pPr>
            <w:r>
              <w:t>0.42</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霸州市统计局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霸州市统计局本级2022</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hint="eastAsia" w:ascii="方正小标宋_GBK" w:hAnsi="方正小标宋_GBK" w:eastAsia="方正小标宋_GBK" w:cs="方正小标宋_GBK"/>
          <w:color w:val="000000"/>
          <w:sz w:val="44"/>
        </w:rPr>
        <w:t>预算信息公开情况说明</w:t>
      </w:r>
    </w:p>
    <w:p>
      <w:pPr>
        <w:spacing w:line="500" w:lineRule="exact"/>
        <w:ind w:firstLine="560"/>
        <w:jc w:val="both"/>
      </w:pPr>
      <w:r>
        <w:rPr>
          <w:rFonts w:hint="eastAsia" w:eastAsia="方正仿宋_GBK"/>
          <w:color w:val="000000"/>
          <w:sz w:val="28"/>
        </w:rPr>
        <w:t>按照《预算法》、《地方预决算公开操作规程》和《关于进一步推进预算公开工作的实施意见》规定，现将霸州市统计局</w:t>
      </w:r>
      <w:r>
        <w:rPr>
          <w:rFonts w:hint="eastAsia" w:eastAsia="方正仿宋_GBK"/>
          <w:color w:val="000000"/>
          <w:sz w:val="28"/>
          <w:lang w:val="en-US" w:eastAsia="zh-CN"/>
        </w:rPr>
        <w:t>本级</w:t>
      </w: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val="en-US" w:eastAsia="zh-CN"/>
        </w:rPr>
        <w:t>单位</w:t>
      </w:r>
      <w:r>
        <w:rPr>
          <w:rFonts w:hint="eastAsia" w:eastAsia="方正仿宋_GBK"/>
          <w:color w:val="000000"/>
          <w:sz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val="en-US" w:eastAsia="zh-CN"/>
        </w:rPr>
        <w:t>单位</w:t>
      </w:r>
      <w:r>
        <w:rPr>
          <w:rFonts w:hint="eastAsia" w:ascii="方正楷体_GBK" w:hAnsi="方正楷体_GBK" w:eastAsia="方正楷体_GBK" w:cs="方正楷体_GBK"/>
          <w:b/>
          <w:color w:val="000000"/>
          <w:sz w:val="32"/>
        </w:rPr>
        <w:t>职责：</w:t>
      </w:r>
    </w:p>
    <w:p>
      <w:pPr>
        <w:ind w:firstLine="640"/>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霸州市统计局</w:t>
      </w:r>
    </w:p>
    <w:p>
      <w:pPr>
        <w:pStyle w:val="19"/>
        <w:jc w:val="both"/>
      </w:pPr>
      <w:r>
        <w:rPr>
          <w:rFonts w:hint="eastAsia"/>
        </w:rPr>
        <w:t>职能配置、内设机构和人员编制规定</w:t>
      </w:r>
    </w:p>
    <w:p>
      <w:pPr>
        <w:pStyle w:val="19"/>
        <w:jc w:val="both"/>
      </w:pPr>
      <w:r>
        <w:rPr>
          <w:rFonts w:hint="eastAsia"/>
        </w:rPr>
        <w:t>第一条</w:t>
      </w:r>
      <w:r>
        <w:t xml:space="preserve">  </w:t>
      </w:r>
      <w:r>
        <w:rPr>
          <w:rFonts w:hint="eastAsia"/>
        </w:rPr>
        <w:t>根据《中共廊坊市委办公室廊坊市人民政府办公室关于印发</w:t>
      </w:r>
      <w:r>
        <w:t>&lt;</w:t>
      </w:r>
      <w:r>
        <w:rPr>
          <w:rFonts w:hint="eastAsia"/>
        </w:rPr>
        <w:t>霸州市机构改革方案的通知</w:t>
      </w:r>
      <w:r>
        <w:t>&gt;</w:t>
      </w:r>
      <w:r>
        <w:rPr>
          <w:rFonts w:hint="eastAsia"/>
        </w:rPr>
        <w:t>的通知》（廊办字〔</w:t>
      </w:r>
      <w:r>
        <w:t>2018</w:t>
      </w:r>
      <w:r>
        <w:rPr>
          <w:rFonts w:hint="eastAsia"/>
        </w:rPr>
        <w:t>〕</w:t>
      </w:r>
      <w:r>
        <w:t>72</w:t>
      </w:r>
      <w:r>
        <w:rPr>
          <w:rFonts w:hint="eastAsia"/>
        </w:rPr>
        <w:t>号），制定本规定。</w:t>
      </w:r>
    </w:p>
    <w:p>
      <w:pPr>
        <w:pStyle w:val="19"/>
        <w:jc w:val="both"/>
      </w:pPr>
      <w:r>
        <w:rPr>
          <w:rFonts w:hint="eastAsia"/>
        </w:rPr>
        <w:t>第二条</w:t>
      </w:r>
      <w:r>
        <w:t xml:space="preserve">  </w:t>
      </w:r>
      <w:r>
        <w:rPr>
          <w:rFonts w:hint="eastAsia"/>
        </w:rPr>
        <w:t>霸州市统计局（简称市统计局）为市政府工作</w:t>
      </w:r>
      <w:r>
        <w:rPr>
          <w:rFonts w:hint="eastAsia"/>
          <w:lang w:val="en-US" w:eastAsia="zh-CN"/>
        </w:rPr>
        <w:t>单位</w:t>
      </w:r>
      <w:r>
        <w:rPr>
          <w:rFonts w:hint="eastAsia"/>
        </w:rPr>
        <w:t>，机构规格正科级。</w:t>
      </w:r>
    </w:p>
    <w:p>
      <w:pPr>
        <w:pStyle w:val="19"/>
        <w:jc w:val="both"/>
      </w:pPr>
      <w:r>
        <w:rPr>
          <w:rFonts w:hint="eastAsia"/>
        </w:rPr>
        <w:t>第三条</w:t>
      </w:r>
      <w:r>
        <w:t xml:space="preserve">  </w:t>
      </w:r>
      <w:r>
        <w:rPr>
          <w:rFonts w:hint="eastAsia"/>
        </w:rPr>
        <w:t>贯彻落实党中央、省委和市委关于统计工作的方针政策和决策部署，坚持和加强党对统计工作的集中统一领导。主要职责是：</w:t>
      </w:r>
    </w:p>
    <w:p>
      <w:pPr>
        <w:pStyle w:val="19"/>
        <w:jc w:val="both"/>
      </w:pPr>
      <w:r>
        <w:rPr>
          <w:rFonts w:hint="eastAsia"/>
        </w:rPr>
        <w:t>（一）组织领导和协调全市统计工作，确保统计数据真实、准确、完整、及时。</w:t>
      </w:r>
    </w:p>
    <w:p>
      <w:pPr>
        <w:pStyle w:val="19"/>
        <w:jc w:val="both"/>
      </w:pPr>
      <w:r>
        <w:rPr>
          <w:rFonts w:hint="eastAsia"/>
        </w:rPr>
        <w:t>（二）拟订统计工作地方性管理办法和统计改革方案，制定统计建设规划、统计调查计划、统计调查制度，指导和规范全市统计行政执法工作，监督检查统计法律、法规贯彻实施情况，组织实施统计法律法规宣传教育</w:t>
      </w:r>
      <w:r>
        <w:t xml:space="preserve">, </w:t>
      </w:r>
      <w:r>
        <w:rPr>
          <w:rFonts w:hint="eastAsia"/>
        </w:rPr>
        <w:t>依法查处统计违法行为，开展防范和惩治统计造假弄虚作假统计督察。组织实施统计执法监督检查和</w:t>
      </w:r>
      <w:r>
        <w:t>“</w:t>
      </w:r>
      <w:r>
        <w:rPr>
          <w:rFonts w:hint="eastAsia"/>
        </w:rPr>
        <w:t>双随机</w:t>
      </w:r>
      <w:r>
        <w:t>”</w:t>
      </w:r>
      <w:r>
        <w:rPr>
          <w:rFonts w:hint="eastAsia"/>
        </w:rPr>
        <w:t>抽查，依法查处统计违法案件，预防和查处统计造假、弄虚作假，受理、办理、督办统计违法举报。</w:t>
      </w:r>
    </w:p>
    <w:p>
      <w:pPr>
        <w:pStyle w:val="19"/>
        <w:jc w:val="both"/>
      </w:pPr>
      <w:r>
        <w:rPr>
          <w:rFonts w:hint="eastAsia"/>
        </w:rPr>
        <w:t>（三）贯彻执行国家和省国民经济核算制度，组织实施全市国民经济核算制度和民营经济统计制度。统一核算全市地区生产总值及派生产业增加值；组织实施投入产出调查和开发应用；编制全市资产负债表；组织实施全市民营经济统计工作；整理、测算和提供国民经济核算资料；监督管理全市国民经济核算工作。</w:t>
      </w:r>
    </w:p>
    <w:p>
      <w:pPr>
        <w:pStyle w:val="19"/>
        <w:jc w:val="both"/>
      </w:pPr>
      <w:r>
        <w:rPr>
          <w:rFonts w:hint="eastAsia"/>
        </w:rPr>
        <w:t>（四）拟订统计调查计划；组织实施全市人口、经济、农业等重大普查调查，汇总、整理和提供有关市情市力方面的统计数据。</w:t>
      </w:r>
    </w:p>
    <w:p>
      <w:pPr>
        <w:pStyle w:val="19"/>
        <w:jc w:val="both"/>
      </w:pPr>
      <w:r>
        <w:rPr>
          <w:rFonts w:hint="eastAsia"/>
        </w:rPr>
        <w:t>（五）组织实施全市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19"/>
        <w:jc w:val="both"/>
      </w:pPr>
      <w:r>
        <w:rPr>
          <w:rFonts w:hint="eastAsia"/>
        </w:rPr>
        <w:t>（六）组织实施县域经济发展、农业产业化、特色小镇、节能降耗、绿色发展、企业景气、妇女儿童监测、新产业新业态新商业模式（以下简称新经济）、高质量发展等统计监测，收集、整理和提供统计数据。</w:t>
      </w:r>
    </w:p>
    <w:p>
      <w:pPr>
        <w:pStyle w:val="19"/>
        <w:jc w:val="both"/>
      </w:pPr>
      <w:r>
        <w:rPr>
          <w:rFonts w:hint="eastAsia"/>
        </w:rPr>
        <w:t>（七）综合整理和提供财政、金融、旅游、交通运输、邮政、地质勘查、教育、体育、卫生、社会保障、公用事业、对外经济、收入、价格等基本统计数据。</w:t>
      </w:r>
    </w:p>
    <w:p>
      <w:pPr>
        <w:pStyle w:val="19"/>
        <w:jc w:val="both"/>
      </w:pPr>
      <w:r>
        <w:rPr>
          <w:rFonts w:hint="eastAsia"/>
        </w:rPr>
        <w:t>（八）组织各乡镇和各部门的经济、社会、科技、服务业统计调查，统一核定、管理、公布全市性基本统计资料，定期发布全市国民经济和社会发展情况的统计信息，组织建立统计信息共享制度和发布制度。</w:t>
      </w:r>
    </w:p>
    <w:p>
      <w:pPr>
        <w:pStyle w:val="19"/>
        <w:jc w:val="both"/>
      </w:pPr>
      <w:r>
        <w:rPr>
          <w:rFonts w:hint="eastAsia"/>
        </w:rPr>
        <w:t>（九）对国民经济、社会发展、科技进步和资源环境等情况进行统计分析、统计预测和统计监督，向市委、市政府及有关部门提供统计信息和咨询建议。</w:t>
      </w:r>
    </w:p>
    <w:p>
      <w:pPr>
        <w:pStyle w:val="19"/>
        <w:jc w:val="both"/>
      </w:pPr>
      <w:r>
        <w:rPr>
          <w:rFonts w:hint="eastAsia"/>
        </w:rPr>
        <w:t>（十）依法审批管理市本级政府部门统计调查项目；指导专业统计基础工作、统计基层基础业务建设；组织建立统计信息管理制度，建立健全统计数据质量审核、监控和评估制度，开展对统计数据质量的检查和评估。</w:t>
      </w:r>
    </w:p>
    <w:p>
      <w:pPr>
        <w:pStyle w:val="19"/>
        <w:jc w:val="both"/>
      </w:pPr>
      <w:r>
        <w:rPr>
          <w:rFonts w:hint="eastAsia"/>
        </w:rPr>
        <w:t>（十一）建立并管理全市统计信息化系统和统计数据库系统，组织制定全市统计数据库和网络的基本标准和运行规则，指导全市统计信息化系统建设。</w:t>
      </w:r>
    </w:p>
    <w:p>
      <w:pPr>
        <w:pStyle w:val="19"/>
        <w:jc w:val="both"/>
      </w:pPr>
      <w:r>
        <w:rPr>
          <w:rFonts w:hint="eastAsia"/>
        </w:rPr>
        <w:t>（十二）指导全市统计系统地方调查队业务工作、统计专业技术队伍建设；指导所属事业单位名录库建设、全面建成小康社会统计监测、社情民意调查、资料管理等工作；会同有关部门组织全市统计专业技术资格考试，组织专业技术职务聘任工作；监督管理全局的中央统计经费和省、市财政提供的专项经费。</w:t>
      </w:r>
    </w:p>
    <w:p>
      <w:pPr>
        <w:pStyle w:val="19"/>
        <w:jc w:val="both"/>
      </w:pPr>
      <w:r>
        <w:rPr>
          <w:rFonts w:hint="eastAsia"/>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jc w:val="both"/>
      </w:pPr>
      <w:r>
        <w:rPr>
          <w:rFonts w:hint="eastAsia"/>
        </w:rPr>
        <w:t>（十四）完成市委、市政府和上级统计部门交办的其他任务。</w:t>
      </w:r>
    </w:p>
    <w:p>
      <w:pPr>
        <w:pStyle w:val="19"/>
        <w:jc w:val="both"/>
      </w:pPr>
      <w:r>
        <w:rPr>
          <w:rFonts w:hint="eastAsia"/>
        </w:rPr>
        <w:t>第四条</w:t>
      </w:r>
      <w:r>
        <w:t xml:space="preserve">  </w:t>
      </w:r>
      <w:r>
        <w:rPr>
          <w:rFonts w:hint="eastAsia"/>
        </w:rPr>
        <w:t>内设机构</w:t>
      </w:r>
    </w:p>
    <w:p>
      <w:pPr>
        <w:pStyle w:val="19"/>
        <w:jc w:val="both"/>
      </w:pPr>
      <w:r>
        <w:rPr>
          <w:rFonts w:hint="eastAsia"/>
        </w:rPr>
        <w:t>根据上述职责，参照《廊坊市统计局主要职责内设机构和人员编制规定》，霸州市统计局设</w:t>
      </w:r>
      <w:r>
        <w:t>6</w:t>
      </w:r>
      <w:r>
        <w:rPr>
          <w:rFonts w:hint="eastAsia"/>
        </w:rPr>
        <w:t>个内设机构：</w:t>
      </w:r>
    </w:p>
    <w:p>
      <w:pPr>
        <w:pStyle w:val="19"/>
        <w:jc w:val="both"/>
      </w:pPr>
      <w:r>
        <w:rPr>
          <w:rFonts w:hint="eastAsia"/>
        </w:rPr>
        <w:t>（一）办公室。负责机关文秘、机要、保密、安全保卫、督查、信访、档案、会务、标准化管理、政务信息、政务公开和信息公开、机关和所属事业单位的党群工作等工作；协调机关和所属事业单位的政务工作；负责组织承办人大代表建议和政协提案工作；负责机关节能、政府采购及国有资产管理工作；组织部门预算绩效管理和内控制度建设；负责市统计局网站和官方微信公众号的建设、管理和维护，负责网站信息报送工作；负责组织统计舆情监控。统一管理全局中央及地方统计经费预、决算编制工作；负责全市统计系统内部审计工作；统一管理局机关及所属事业单位财务工作；负责局机关和所属事业单位财务核算。负责机关和所属事业单位机构编制、人事管理、绩效考核、干部队伍建设、教育培训等工作；负责机关和所属事业单位临时出境人员政治审查等工作；组织协调统计联网直报和统计业务分工；负责机关和所属事业单位离退休干部职工工作；按照普查、调查整体工作安排，负责组织研究制定重大普查计划和实施方案。</w:t>
      </w:r>
    </w:p>
    <w:p>
      <w:pPr>
        <w:pStyle w:val="19"/>
        <w:jc w:val="both"/>
      </w:pPr>
      <w:r>
        <w:rPr>
          <w:rFonts w:hint="eastAsia"/>
        </w:rPr>
        <w:t>（二）政策法规股（设计管理股）。拟订地方统计管理办法；拟订全市统计法治建设有关文件规定；负责机关规范性文件和重大执法决定的法制审核；组织统计法律法规的学习宣传；组织指导全市统计法治建设工作；办理统计行政复议、应诉和其他法律性事务；组织实施依法行政工作；指导全市统计执法监督检查工作的组织实施；组织拟订统计调查计划；依法审批管理市本级政府部门统计调查项目；检查统计制度和统计标准的贯彻执行情况；负责全市统计用区划代码库和城乡划分代码库的更新维护，开展相关统计调查，负责城市基本情况统计工作；指导协调统计基层基础业务建设；组织全市统计专业技术资格考试，组织专业技术职务聘任工作；指导系统统计人才、统计专业技术队伍建设及培训工作。</w:t>
      </w:r>
    </w:p>
    <w:p>
      <w:pPr>
        <w:pStyle w:val="19"/>
        <w:jc w:val="both"/>
      </w:pPr>
      <w:r>
        <w:rPr>
          <w:rFonts w:hint="eastAsia"/>
        </w:rPr>
        <w:t>（三）综合统计股。组织监测预警国民经济运行，起草进度分析报告，分析研究经济社会重大问题、起草专题分析报告，提出决策咨询建议；组织编辑综合性统计资料，提供经济社会综合性统计数据；组织统计信息上报工作；负责部分省外县市及全省各县市间统计资料交流、市直有关部门数据交换工作；负责组织统计新闻宣传、经济形势新闻发布、国民经济和社会发展统计公报发布。</w:t>
      </w:r>
    </w:p>
    <w:p>
      <w:pPr>
        <w:pStyle w:val="19"/>
        <w:jc w:val="both"/>
      </w:pPr>
      <w:r>
        <w:rPr>
          <w:rFonts w:hint="eastAsia"/>
        </w:rPr>
        <w:t>（四）社会与投资统计股。组织实施全市人口普查、人口抽样调查和工资统计调查，整理和提供有关调查的统计数据；收集和提供人口、就业、工资和社会保障等统计数据；对有关统计数据进行检查和评估；组织指导有关专业统计基础工作，开展统计信息和分析研究。组织实施Ｒ＆Ｄ资源清查、企业研发、创新调查、新经济统计有关调查工作；组织实施对妇女儿童发展纲要及规划执行情况的统计监测；组织实施规模以下企业创新调查；对有关统计数据进行检查和评估；组织指导有关专业统计基础建设工作；开展统计信息和分析研究；协助组织经济普查工作。组织实施全市农林牧渔业统计，农业产值综合统计，乡镇、村等区域社会经济统计，新经济统计有关调查，农业产业化统计监测，特色小镇规划建设统计监测等统计调查任务；配合做好全市县域经济发展绩效考核测评工作；收集、整理和提供农村社会经济统计有关调查数据；对有关统计数据进行检查和评估；指导全市农村统计业务基础建设工作；开展统计信息和分析研究；协助实施农业普查工作。组织实施全市国民经济核算制度和民营经济统计制度；统一核算全市地区生产总值及现代服务业、文化、旅游等派生产业增加值；组织实施新经济统计核算；组织实施投入产出调查和开发应用；编制全市资产负债表；组织实施全市民营经济统计工作；监督管理全市国民经济核算工作，检查和评估国民经济核算质量；整理、测算和提供国民经济核算资料；组织实施固定资产投资、建筑业、房地产开发统计调查，搜集、整理和提供有关调查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对有关统计数据进行检查和评估；组织指导专业统计基础建设工作；开展统计信息和分析研究；协助组织经济普查工作。</w:t>
      </w:r>
    </w:p>
    <w:p>
      <w:pPr>
        <w:pStyle w:val="19"/>
        <w:jc w:val="both"/>
      </w:pPr>
      <w:r>
        <w:rPr>
          <w:rFonts w:hint="eastAsia"/>
        </w:rPr>
        <w:t>（五）工业能源统计股。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对有关统计数据进行检查和评估；组织指导有关部门的行业统计工作及有关专业统计基础工作；开展统计信息和分析研究；组织实施能源生产、消费、流通、库存情况、新经济统计有关调查；负责开展主要能耗行业、重点耗能企业能源使用、节约以及资源循环利用状况的统计监测；会同有关部门组织实施生态文明建设目标年度评价；综合收集、整理和提供能源经济、资源利用、环境质量、应对气候变化有关统计数据；对有关统计数据进行检查和评估；组织指导有关部门的行业统计工作及有关专业统计基础工作；组织指导专业统计基础建设工作；开展统计信息和分析研究；协助组织经济普查工作。</w:t>
      </w:r>
    </w:p>
    <w:p>
      <w:pPr>
        <w:pStyle w:val="19"/>
        <w:jc w:val="both"/>
      </w:pPr>
      <w:r>
        <w:rPr>
          <w:rFonts w:hint="eastAsia"/>
        </w:rPr>
        <w:t>（六）贸易服务业统计股。组织实施批发和零售业、住宿和餐饮业、全社会消费品零售总额、商品交易市场、连锁经营、景气状况、城市商业综合体、新经济统计有关调查；组织实施限额以下批发零售住宿餐饮行业抽样与问卷调查；综合整理和提供对外贸易、利用外资、旅游、外汇、对外经济技术合作、境外投资等统计数据；对有关统计数据进行检查和评估；组织指导有关部门的行业统计工作及有关专业统计基础工作；组织指导专业统计基础建设工作；开展统计信息和分析研究；组织实施全市规模以上服务业、现代服务业、互联网经济、物流统计、运输邮电软件业调查、新经济统计有关调查等有关统计调查工作；组织实施社会、科技、文化产业和高新技术产业等基本状况统计调查；组织实施规模以下服务业抽样调查；组织协调部门服务业统计有关工作；对有关统计数据进行检查和评估；开展统计信息和分析研究；组织指导有关部门服务业统计基础工作；协助组织经济普查工作。</w:t>
      </w:r>
    </w:p>
    <w:p>
      <w:pPr>
        <w:pStyle w:val="19"/>
        <w:jc w:val="both"/>
      </w:pPr>
      <w:r>
        <w:rPr>
          <w:rFonts w:hint="eastAsia"/>
        </w:rPr>
        <w:t>第五条</w:t>
      </w:r>
      <w:r>
        <w:t xml:space="preserve">  </w:t>
      </w:r>
      <w:r>
        <w:rPr>
          <w:rFonts w:hint="eastAsia"/>
        </w:rPr>
        <w:t>市统计局机关编制</w:t>
      </w:r>
      <w:r>
        <w:t>23</w:t>
      </w:r>
      <w:r>
        <w:rPr>
          <w:rFonts w:hint="eastAsia"/>
        </w:rPr>
        <w:t>名</w:t>
      </w:r>
      <w:r>
        <w:t>(</w:t>
      </w:r>
      <w:r>
        <w:rPr>
          <w:rFonts w:hint="eastAsia"/>
        </w:rPr>
        <w:t>行政编制</w:t>
      </w:r>
      <w:r>
        <w:t>15</w:t>
      </w:r>
      <w:r>
        <w:rPr>
          <w:rFonts w:hint="eastAsia"/>
        </w:rPr>
        <w:t>名，锁定事业编制</w:t>
      </w:r>
      <w:r>
        <w:t>8</w:t>
      </w:r>
      <w:r>
        <w:rPr>
          <w:rFonts w:hint="eastAsia"/>
        </w:rPr>
        <w:t>名</w:t>
      </w:r>
      <w:r>
        <w:t>)</w:t>
      </w:r>
      <w:r>
        <w:rPr>
          <w:rFonts w:hint="eastAsia"/>
        </w:rPr>
        <w:t>，正股级职数</w:t>
      </w:r>
      <w:r>
        <w:t>6</w:t>
      </w:r>
      <w:r>
        <w:rPr>
          <w:rFonts w:hint="eastAsia"/>
        </w:rPr>
        <w:t>名，副股级职数</w:t>
      </w:r>
      <w:r>
        <w:t>3</w:t>
      </w:r>
      <w:r>
        <w:rPr>
          <w:rFonts w:hint="eastAsia"/>
        </w:rPr>
        <w:t>名。</w:t>
      </w:r>
    </w:p>
    <w:p>
      <w:pPr>
        <w:pStyle w:val="19"/>
        <w:jc w:val="both"/>
      </w:pPr>
      <w:r>
        <w:rPr>
          <w:rFonts w:hint="eastAsia"/>
        </w:rPr>
        <w:t>科级领导职数设置另行明确。</w:t>
      </w:r>
    </w:p>
    <w:p>
      <w:pPr>
        <w:pStyle w:val="19"/>
        <w:jc w:val="both"/>
      </w:pPr>
      <w:r>
        <w:rPr>
          <w:rFonts w:hint="eastAsia"/>
        </w:rPr>
        <w:t>第六条</w:t>
      </w:r>
      <w:r>
        <w:t xml:space="preserve">  </w:t>
      </w:r>
      <w:r>
        <w:rPr>
          <w:rFonts w:hint="eastAsia"/>
        </w:rPr>
        <w:t>市统计局所属事业单位的设置、职责和编制事项另行规定。</w:t>
      </w:r>
    </w:p>
    <w:p>
      <w:pPr>
        <w:pStyle w:val="19"/>
        <w:jc w:val="both"/>
      </w:pPr>
      <w:r>
        <w:rPr>
          <w:rFonts w:hint="eastAsia"/>
        </w:rPr>
        <w:t>第七条</w:t>
      </w:r>
      <w:r>
        <w:t xml:space="preserve">  </w:t>
      </w:r>
      <w:r>
        <w:rPr>
          <w:rFonts w:hint="eastAsia"/>
        </w:rPr>
        <w:t>本规定具体解释工作由中共霸州市委机构编制委员会办公室承担，其调整由中共霸州市委机构编制委员会办公室按规定程序办理。</w:t>
      </w:r>
    </w:p>
    <w:p>
      <w:pPr>
        <w:pStyle w:val="19"/>
        <w:jc w:val="both"/>
      </w:pPr>
      <w:r>
        <w:rPr>
          <w:rFonts w:hint="eastAsia"/>
        </w:rPr>
        <w:t>第八条</w:t>
      </w:r>
      <w:r>
        <w:t xml:space="preserve">  </w:t>
      </w:r>
      <w:r>
        <w:rPr>
          <w:rFonts w:hint="eastAsia"/>
        </w:rPr>
        <w:t>本规定自</w:t>
      </w:r>
      <w:r>
        <w:t>2019</w:t>
      </w:r>
      <w:r>
        <w:rPr>
          <w:rFonts w:hint="eastAsia"/>
        </w:rPr>
        <w:t>年</w:t>
      </w:r>
      <w:r>
        <w:t>3</w:t>
      </w:r>
      <w:r>
        <w:rPr>
          <w:rFonts w:hint="eastAsia"/>
        </w:rPr>
        <w:t>月</w:t>
      </w:r>
      <w:r>
        <w:t>22</w:t>
      </w:r>
      <w:r>
        <w:rPr>
          <w:rFonts w:hint="eastAsia"/>
        </w:rPr>
        <w:t>日起施行。</w:t>
      </w:r>
    </w:p>
    <w:p>
      <w:pPr>
        <w:ind w:firstLine="640"/>
        <w:rPr>
          <w:rFonts w:hint="eastAsia"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hint="eastAsia" w:ascii="方正小标宋_GBK" w:hAnsi="方正小标宋_GBK" w:eastAsia="方正小标宋_GBK" w:cs="方正小标宋_GBK"/>
          <w:color w:val="000000"/>
          <w:sz w:val="32"/>
        </w:rPr>
        <w:t>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霸州市统计局本级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rPr>
      </w:pPr>
      <w:bookmarkStart w:id="10" w:name="_Toc_3_3_0000000011"/>
    </w:p>
    <w:p>
      <w:pPr>
        <w:spacing w:before="10" w:after="10" w:line="360" w:lineRule="auto"/>
        <w:ind w:firstLine="640"/>
        <w:outlineLvl w:val="2"/>
      </w:pPr>
      <w:r>
        <w:rPr>
          <w:rFonts w:hint="eastAsia" w:ascii="黑体" w:hAnsi="黑体" w:eastAsia="黑体" w:cs="黑体"/>
          <w:color w:val="000000"/>
          <w:sz w:val="32"/>
        </w:rPr>
        <w:t>二、</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预算安排的总体情况</w:t>
      </w:r>
      <w:bookmarkEnd w:id="10"/>
    </w:p>
    <w:p>
      <w:pPr>
        <w:spacing w:line="584" w:lineRule="exact"/>
        <w:ind w:firstLine="560" w:firstLineChars="200"/>
        <w:jc w:val="both"/>
        <w:rPr>
          <w:rFonts w:hint="eastAsia" w:eastAsia="方正仿宋_GBK"/>
          <w:color w:val="000000"/>
          <w:sz w:val="28"/>
          <w:lang w:val="en-US" w:eastAsia="zh-CN"/>
        </w:rPr>
      </w:pPr>
      <w:r>
        <w:rPr>
          <w:rFonts w:hint="eastAsia" w:eastAsia="方正仿宋_GBK"/>
          <w:color w:val="000000"/>
          <w:sz w:val="28"/>
        </w:rPr>
        <w:t>按照预算管理有关规定，目前我省</w:t>
      </w:r>
      <w:r>
        <w:rPr>
          <w:rFonts w:hint="eastAsia" w:eastAsia="方正仿宋_GBK"/>
          <w:color w:val="000000"/>
          <w:sz w:val="28"/>
          <w:lang w:val="en-US" w:eastAsia="zh-CN"/>
        </w:rPr>
        <w:t>单位</w:t>
      </w:r>
      <w:r>
        <w:rPr>
          <w:rFonts w:hint="eastAsia" w:eastAsia="方正仿宋_GBK"/>
          <w:color w:val="000000"/>
          <w:sz w:val="28"/>
        </w:rPr>
        <w:t>预算的编制实行综合预算管理，即全部收入和支出都反映在预算中。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pStyle w:val="19"/>
        <w:jc w:val="both"/>
        <w:rPr>
          <w:rFonts w:hint="eastAsia"/>
          <w:lang w:val="en-US" w:eastAsia="zh-CN"/>
        </w:rPr>
      </w:pPr>
      <w:r>
        <w:rPr>
          <w:rFonts w:hint="eastAsia" w:ascii="Times New Roman" w:hAnsi="Times New Roman" w:eastAsia="方正仿宋_GBK" w:cs="Times New Roman"/>
          <w:color w:val="000000"/>
          <w:kern w:val="0"/>
          <w:sz w:val="28"/>
          <w:szCs w:val="24"/>
          <w:lang w:val="en-US" w:eastAsia="zh-CN" w:bidi="ar-SA"/>
        </w:rPr>
        <w:t>反映本</w:t>
      </w:r>
      <w:r>
        <w:rPr>
          <w:rFonts w:hint="eastAsia" w:cs="Times New Roman"/>
          <w:color w:val="000000"/>
          <w:kern w:val="0"/>
          <w:sz w:val="28"/>
          <w:szCs w:val="24"/>
          <w:lang w:val="en-US" w:eastAsia="zh-CN" w:bidi="ar-SA"/>
        </w:rPr>
        <w:t>单位</w:t>
      </w:r>
      <w:r>
        <w:rPr>
          <w:rFonts w:hint="eastAsia" w:ascii="Times New Roman" w:hAnsi="Times New Roman" w:eastAsia="方正仿宋_GBK" w:cs="Times New Roman"/>
          <w:color w:val="000000"/>
          <w:kern w:val="0"/>
          <w:sz w:val="28"/>
          <w:szCs w:val="24"/>
          <w:lang w:val="en-US" w:eastAsia="zh-CN" w:bidi="ar-SA"/>
        </w:rPr>
        <w:t>当年全部收入。2022年预算收入726.13万元，其中：一般公共预算收入726.13万元，政府性基金预算收入0万元，国有资本经营预算收入0万元，财政专户管理资金收入0万元，上级补助收入0万元，事业收入0万元，经营收入0万元，附属单位上缴收入0万元，其他收入0万元，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pStyle w:val="19"/>
        <w:jc w:val="both"/>
        <w:rPr>
          <w:rFonts w:hint="eastAsia" w:ascii="Times New Roman" w:hAnsi="Times New Roman" w:eastAsia="方正仿宋_GBK" w:cs="Times New Roman"/>
          <w:color w:val="000000"/>
          <w:kern w:val="0"/>
          <w:sz w:val="28"/>
          <w:szCs w:val="24"/>
          <w:lang w:val="en-US" w:eastAsia="zh-CN" w:bidi="ar-SA"/>
        </w:rPr>
      </w:pPr>
      <w:r>
        <w:rPr>
          <w:rFonts w:hint="eastAsia" w:ascii="Times New Roman" w:hAnsi="Times New Roman" w:eastAsia="方正仿宋_GBK" w:cs="Times New Roman"/>
          <w:color w:val="000000"/>
          <w:kern w:val="0"/>
          <w:sz w:val="28"/>
          <w:szCs w:val="24"/>
          <w:lang w:val="en-US" w:eastAsia="zh-CN" w:bidi="ar-SA"/>
        </w:rPr>
        <w:t>收支预算总表支出栏、基本支出表、项目支出表按经济分类和支出功能分类科目编制，反映霸州市统计局</w:t>
      </w:r>
      <w:r>
        <w:rPr>
          <w:rFonts w:hint="eastAsia" w:cs="Times New Roman"/>
          <w:color w:val="000000"/>
          <w:kern w:val="0"/>
          <w:sz w:val="28"/>
          <w:szCs w:val="24"/>
          <w:lang w:val="en-US" w:eastAsia="zh-CN" w:bidi="ar-SA"/>
        </w:rPr>
        <w:t>本级</w:t>
      </w:r>
      <w:r>
        <w:rPr>
          <w:rFonts w:hint="eastAsia" w:ascii="Times New Roman" w:hAnsi="Times New Roman" w:eastAsia="方正仿宋_GBK" w:cs="Times New Roman"/>
          <w:color w:val="000000"/>
          <w:kern w:val="0"/>
          <w:sz w:val="28"/>
          <w:szCs w:val="24"/>
          <w:lang w:val="en-US" w:eastAsia="zh-CN" w:bidi="ar-SA"/>
        </w:rPr>
        <w:t>2022年度</w:t>
      </w:r>
      <w:r>
        <w:rPr>
          <w:rFonts w:hint="eastAsia" w:cs="Times New Roman"/>
          <w:color w:val="000000"/>
          <w:kern w:val="0"/>
          <w:sz w:val="28"/>
          <w:szCs w:val="24"/>
          <w:lang w:val="en-US" w:eastAsia="zh-CN" w:bidi="ar-SA"/>
        </w:rPr>
        <w:t>单位</w:t>
      </w:r>
      <w:r>
        <w:rPr>
          <w:rFonts w:hint="eastAsia" w:ascii="Times New Roman" w:hAnsi="Times New Roman" w:eastAsia="方正仿宋_GBK" w:cs="Times New Roman"/>
          <w:color w:val="000000"/>
          <w:kern w:val="0"/>
          <w:sz w:val="28"/>
          <w:szCs w:val="24"/>
          <w:lang w:val="en-US" w:eastAsia="zh-CN" w:bidi="ar-SA"/>
        </w:rPr>
        <w:t>预算中支出预算的总体情况。2022年支出预算726.13万元，其中：基本支出705.13万元，包括：人员经费626.50万元和</w:t>
      </w:r>
      <w:r>
        <w:rPr>
          <w:rFonts w:hint="eastAsia" w:cs="Times New Roman"/>
          <w:color w:val="000000"/>
          <w:kern w:val="0"/>
          <w:sz w:val="28"/>
          <w:szCs w:val="24"/>
          <w:lang w:val="en-US" w:eastAsia="zh-CN" w:bidi="ar-SA"/>
        </w:rPr>
        <w:t>日常</w:t>
      </w:r>
      <w:r>
        <w:rPr>
          <w:rFonts w:hint="eastAsia" w:ascii="Times New Roman" w:hAnsi="Times New Roman" w:eastAsia="方正仿宋_GBK" w:cs="Times New Roman"/>
          <w:color w:val="000000"/>
          <w:kern w:val="0"/>
          <w:sz w:val="28"/>
          <w:szCs w:val="24"/>
          <w:lang w:val="en-US" w:eastAsia="zh-CN" w:bidi="ar-SA"/>
        </w:rPr>
        <w:t>公用经费78.63万元；项目支出21万元，主要为第七次全国人口普查经费</w:t>
      </w:r>
      <w:r>
        <w:rPr>
          <w:rFonts w:hint="eastAsia" w:cs="Times New Roman"/>
          <w:color w:val="000000"/>
          <w:kern w:val="0"/>
          <w:sz w:val="28"/>
          <w:szCs w:val="24"/>
          <w:lang w:val="en-US" w:eastAsia="zh-CN" w:bidi="ar-SA"/>
        </w:rPr>
        <w:t>等</w:t>
      </w:r>
      <w:r>
        <w:rPr>
          <w:rFonts w:hint="eastAsia" w:ascii="Times New Roman" w:hAnsi="Times New Roman" w:eastAsia="方正仿宋_GBK" w:cs="Times New Roman"/>
          <w:color w:val="000000"/>
          <w:kern w:val="0"/>
          <w:sz w:val="28"/>
          <w:szCs w:val="24"/>
          <w:lang w:val="en-US" w:eastAsia="zh-CN" w:bidi="ar-SA"/>
        </w:rPr>
        <w:t>。</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pStyle w:val="19"/>
        <w:jc w:val="both"/>
        <w:rPr>
          <w:rFonts w:hint="eastAsia" w:ascii="Times New Roman" w:hAnsi="Times New Roman" w:eastAsia="方正仿宋_GBK" w:cs="Times New Roman"/>
          <w:color w:val="000000"/>
          <w:kern w:val="0"/>
          <w:sz w:val="28"/>
          <w:szCs w:val="24"/>
          <w:lang w:val="en-US" w:eastAsia="zh-CN" w:bidi="ar-SA"/>
        </w:rPr>
      </w:pPr>
      <w:r>
        <w:rPr>
          <w:rFonts w:hint="eastAsia" w:ascii="Times New Roman" w:hAnsi="Times New Roman" w:eastAsia="方正仿宋_GBK" w:cs="Times New Roman"/>
          <w:color w:val="000000"/>
          <w:kern w:val="0"/>
          <w:sz w:val="28"/>
          <w:szCs w:val="24"/>
          <w:lang w:val="en-US" w:eastAsia="zh-CN" w:bidi="ar-SA"/>
        </w:rPr>
        <w:t>2022年预算收支安排726.13万元，较2021预算减少87.09万元，其中：基本支出减少17.09万元，主要为减少人员经费和日常公用经费支出；项目支出</w:t>
      </w:r>
      <w:r>
        <w:rPr>
          <w:rFonts w:hint="eastAsia" w:cs="Times New Roman"/>
          <w:color w:val="000000"/>
          <w:kern w:val="0"/>
          <w:sz w:val="28"/>
          <w:szCs w:val="24"/>
          <w:lang w:val="en-US" w:eastAsia="zh-CN" w:bidi="ar-SA"/>
        </w:rPr>
        <w:t>减</w:t>
      </w:r>
      <w:r>
        <w:rPr>
          <w:rFonts w:hint="eastAsia" w:ascii="Times New Roman" w:hAnsi="Times New Roman" w:eastAsia="方正仿宋_GBK" w:cs="Times New Roman"/>
          <w:color w:val="000000"/>
          <w:kern w:val="0"/>
          <w:sz w:val="28"/>
          <w:szCs w:val="24"/>
          <w:lang w:val="en-US" w:eastAsia="zh-CN" w:bidi="ar-SA"/>
        </w:rPr>
        <w:t>少70万元，主要为</w:t>
      </w:r>
      <w:r>
        <w:rPr>
          <w:rFonts w:hint="eastAsia" w:cs="Times New Roman"/>
          <w:color w:val="000000"/>
          <w:kern w:val="0"/>
          <w:sz w:val="28"/>
          <w:szCs w:val="24"/>
          <w:lang w:val="en-US" w:eastAsia="zh-CN" w:bidi="ar-SA"/>
        </w:rPr>
        <w:t>减少第七次全国人口普查经费</w:t>
      </w:r>
      <w:r>
        <w:rPr>
          <w:rFonts w:hint="eastAsia" w:ascii="Times New Roman" w:hAnsi="Times New Roman" w:eastAsia="方正仿宋_GBK" w:cs="Times New Roman"/>
          <w:color w:val="000000"/>
          <w:kern w:val="0"/>
          <w:sz w:val="28"/>
          <w:szCs w:val="24"/>
          <w:lang w:val="en-US" w:eastAsia="zh-CN" w:bidi="ar-SA"/>
        </w:rPr>
        <w:t>项目支出。</w:t>
      </w:r>
    </w:p>
    <w:p>
      <w:pPr>
        <w:numPr>
          <w:ilvl w:val="0"/>
          <w:numId w:val="1"/>
        </w:numPr>
        <w:spacing w:before="10" w:after="10" w:line="360" w:lineRule="auto"/>
        <w:ind w:firstLine="640"/>
        <w:outlineLvl w:val="2"/>
        <w:rPr>
          <w:rFonts w:hint="eastAsia" w:ascii="黑体" w:hAnsi="黑体" w:eastAsia="黑体" w:cs="黑体"/>
          <w:color w:val="000000"/>
          <w:sz w:val="32"/>
        </w:rPr>
      </w:pPr>
      <w:bookmarkStart w:id="11" w:name="_Toc_3_3_0000000012"/>
      <w:r>
        <w:rPr>
          <w:rFonts w:hint="eastAsia" w:ascii="黑体" w:hAnsi="黑体" w:eastAsia="黑体" w:cs="黑体"/>
          <w:color w:val="000000"/>
          <w:sz w:val="32"/>
        </w:rPr>
        <w:t>机关运行经费安排情况</w:t>
      </w:r>
      <w:bookmarkEnd w:id="11"/>
    </w:p>
    <w:p>
      <w:pPr>
        <w:pStyle w:val="19"/>
        <w:jc w:val="both"/>
        <w:rPr>
          <w:rFonts w:hint="eastAsia" w:ascii="Times New Roman" w:hAnsi="Times New Roman" w:eastAsia="方正仿宋_GBK" w:cs="Times New Roman"/>
          <w:color w:val="000000"/>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2022年，我</w:t>
      </w:r>
      <w:r>
        <w:rPr>
          <w:rFonts w:hint="eastAsia" w:eastAsia="方正仿宋_GBK" w:cs="Times New Roman"/>
          <w:kern w:val="0"/>
          <w:sz w:val="28"/>
          <w:szCs w:val="24"/>
          <w:lang w:val="en-US" w:eastAsia="zh-CN" w:bidi="ar-SA"/>
        </w:rPr>
        <w:t>单位</w:t>
      </w:r>
      <w:r>
        <w:rPr>
          <w:rFonts w:hint="eastAsia" w:cs="Times New Roman"/>
          <w:kern w:val="0"/>
          <w:sz w:val="28"/>
          <w:szCs w:val="24"/>
          <w:lang w:val="en-US" w:eastAsia="zh-CN" w:bidi="ar-SA"/>
        </w:rPr>
        <w:t>机关</w:t>
      </w:r>
      <w:r>
        <w:rPr>
          <w:rFonts w:hint="eastAsia" w:ascii="Times New Roman" w:hAnsi="Times New Roman" w:eastAsia="方正仿宋_GBK" w:cs="Times New Roman"/>
          <w:kern w:val="0"/>
          <w:sz w:val="28"/>
          <w:szCs w:val="24"/>
          <w:lang w:val="en-US" w:eastAsia="zh-CN" w:bidi="ar-SA"/>
        </w:rPr>
        <w:t>运行经费共计安排</w:t>
      </w:r>
      <w:r>
        <w:rPr>
          <w:rFonts w:hint="eastAsia" w:ascii="Times New Roman" w:hAnsi="Times New Roman" w:eastAsia="方正仿宋_GBK" w:cs="Times New Roman"/>
          <w:color w:val="000000"/>
          <w:kern w:val="0"/>
          <w:sz w:val="28"/>
          <w:szCs w:val="24"/>
          <w:lang w:val="en-US" w:eastAsia="zh-CN" w:bidi="ar-SA"/>
        </w:rPr>
        <w:t>78.63万元，主要用于办公区的日常维修、办公用房水电费、办公用房取暖费、办公及印刷费，邮电费、差旅费、公务接待费、培训费、福利费、工会经费、其他交通费用、办公用房物业管理费、公务用车运行维护费等日常运行支出。</w:t>
      </w:r>
      <w:bookmarkStart w:id="18" w:name="_GoBack"/>
      <w:bookmarkEnd w:id="18"/>
    </w:p>
    <w:p>
      <w:pPr>
        <w:numPr>
          <w:ilvl w:val="0"/>
          <w:numId w:val="2"/>
        </w:numPr>
        <w:spacing w:before="10" w:after="10" w:line="360" w:lineRule="auto"/>
        <w:ind w:firstLine="640"/>
        <w:outlineLvl w:val="2"/>
        <w:rPr>
          <w:rFonts w:hint="eastAsia" w:ascii="黑体" w:hAnsi="黑体" w:eastAsia="黑体" w:cs="黑体"/>
          <w:color w:val="000000"/>
          <w:sz w:val="32"/>
        </w:rPr>
      </w:pPr>
      <w:bookmarkStart w:id="12" w:name="_Toc_3_3_0000000013"/>
      <w:r>
        <w:rPr>
          <w:rFonts w:hint="eastAsia" w:ascii="黑体" w:hAnsi="黑体" w:eastAsia="黑体" w:cs="黑体"/>
          <w:color w:val="000000"/>
          <w:sz w:val="32"/>
        </w:rPr>
        <w:t>财政拨款“三公”经费预算情况及增减变化原因</w:t>
      </w:r>
      <w:bookmarkEnd w:id="12"/>
    </w:p>
    <w:p>
      <w:pPr>
        <w:pStyle w:val="19"/>
        <w:jc w:val="both"/>
        <w:rPr>
          <w:rFonts w:hint="eastAsia" w:ascii="Times New Roman" w:hAnsi="Times New Roman" w:eastAsia="方正仿宋_GBK" w:cs="Times New Roman"/>
          <w:color w:val="000000"/>
          <w:kern w:val="0"/>
          <w:sz w:val="28"/>
          <w:szCs w:val="24"/>
          <w:lang w:val="en-US" w:eastAsia="zh-CN" w:bidi="ar-SA"/>
        </w:rPr>
      </w:pPr>
      <w:r>
        <w:rPr>
          <w:rFonts w:hint="eastAsia" w:ascii="Times New Roman" w:hAnsi="Times New Roman" w:eastAsia="方正仿宋_GBK" w:cs="Times New Roman"/>
          <w:color w:val="000000"/>
          <w:kern w:val="0"/>
          <w:sz w:val="28"/>
          <w:szCs w:val="24"/>
          <w:lang w:val="en-US" w:eastAsia="zh-CN" w:bidi="ar-SA"/>
        </w:rPr>
        <w:t>2022年，我</w:t>
      </w:r>
      <w:r>
        <w:rPr>
          <w:rFonts w:hint="eastAsia" w:cs="Times New Roman"/>
          <w:color w:val="000000"/>
          <w:kern w:val="0"/>
          <w:sz w:val="28"/>
          <w:szCs w:val="24"/>
          <w:lang w:val="en-US" w:eastAsia="zh-CN" w:bidi="ar-SA"/>
        </w:rPr>
        <w:t>单位</w:t>
      </w:r>
      <w:r>
        <w:rPr>
          <w:rFonts w:hint="eastAsia" w:ascii="Times New Roman" w:hAnsi="Times New Roman" w:eastAsia="方正仿宋_GBK" w:cs="Times New Roman"/>
          <w:color w:val="000000"/>
          <w:kern w:val="0"/>
          <w:sz w:val="28"/>
          <w:szCs w:val="24"/>
          <w:lang w:val="en-US" w:eastAsia="zh-CN" w:bidi="ar-SA"/>
        </w:rPr>
        <w:t>“三公”经费预算安排2.80万元，其中：因公出国（境）费0万元；公务用车购置及运维费2.38万元（其中：公务用车购置费0万元，公务用车运行维护费2.38万元)；公务接待费0.42万元，</w:t>
      </w:r>
      <w:r>
        <w:rPr>
          <w:rFonts w:hint="eastAsia" w:eastAsia="方正仿宋_GBK" w:cs="Times New Roman"/>
          <w:kern w:val="0"/>
          <w:sz w:val="28"/>
          <w:szCs w:val="24"/>
          <w:lang w:val="en-US" w:eastAsia="zh-CN" w:bidi="ar-SA"/>
        </w:rPr>
        <w:t>较2021年“三公”经费减少</w:t>
      </w:r>
      <w:r>
        <w:rPr>
          <w:rFonts w:hint="eastAsia" w:cs="Times New Roman"/>
          <w:kern w:val="0"/>
          <w:sz w:val="28"/>
          <w:szCs w:val="24"/>
          <w:lang w:val="en-US" w:eastAsia="zh-CN" w:bidi="ar-SA"/>
        </w:rPr>
        <w:t>0.14万元，</w:t>
      </w:r>
      <w:r>
        <w:rPr>
          <w:rFonts w:hint="eastAsia" w:ascii="Times New Roman" w:hAnsi="Times New Roman" w:eastAsia="方正仿宋_GBK" w:cs="Times New Roman"/>
          <w:color w:val="000000"/>
          <w:kern w:val="0"/>
          <w:sz w:val="28"/>
          <w:szCs w:val="24"/>
          <w:lang w:val="en-US" w:eastAsia="zh-CN" w:bidi="ar-SA"/>
        </w:rPr>
        <w:t>主要是因为因公出国（境）费与2021年持平，无增减变化；公务用车购置费与2021年持平，无增减变化；公务用车运行维护费较2021年减少0.12万元，</w:t>
      </w:r>
      <w:r>
        <w:rPr>
          <w:rFonts w:hint="eastAsia" w:ascii="Times New Roman" w:hAnsi="Times New Roman" w:eastAsia="方正仿宋_GBK" w:cs="Times New Roman"/>
          <w:kern w:val="0"/>
          <w:sz w:val="28"/>
          <w:szCs w:val="24"/>
          <w:lang w:val="en-US" w:eastAsia="zh-CN" w:bidi="ar-SA"/>
        </w:rPr>
        <w:t>主要是</w:t>
      </w:r>
      <w:r>
        <w:rPr>
          <w:rFonts w:hint="eastAsia" w:eastAsia="方正仿宋_GBK" w:cs="Times New Roman"/>
          <w:kern w:val="0"/>
          <w:sz w:val="28"/>
          <w:szCs w:val="24"/>
          <w:lang w:val="en-US" w:eastAsia="zh-CN" w:bidi="ar-SA"/>
        </w:rPr>
        <w:t>我单位厉行节约，严格控制公务用车运行维护费支出</w:t>
      </w:r>
      <w:r>
        <w:rPr>
          <w:rFonts w:hint="eastAsia" w:ascii="Times New Roman" w:hAnsi="Times New Roman" w:eastAsia="方正仿宋_GBK" w:cs="Times New Roman"/>
          <w:kern w:val="0"/>
          <w:sz w:val="28"/>
          <w:szCs w:val="24"/>
          <w:lang w:val="en-US" w:eastAsia="zh-CN" w:bidi="ar-SA"/>
        </w:rPr>
        <w:t>；</w:t>
      </w:r>
      <w:r>
        <w:rPr>
          <w:rFonts w:hint="eastAsia" w:ascii="Times New Roman" w:hAnsi="Times New Roman" w:eastAsia="方正仿宋_GBK" w:cs="Times New Roman"/>
          <w:color w:val="000000"/>
          <w:kern w:val="0"/>
          <w:sz w:val="28"/>
          <w:szCs w:val="24"/>
          <w:lang w:val="en-US" w:eastAsia="zh-CN" w:bidi="ar-SA"/>
        </w:rPr>
        <w:t>公务接待费较2021年减少0.02万元主，</w:t>
      </w:r>
      <w:r>
        <w:rPr>
          <w:rFonts w:hint="eastAsia" w:ascii="Times New Roman" w:hAnsi="Times New Roman" w:eastAsia="方正仿宋_GBK" w:cs="Times New Roman"/>
          <w:kern w:val="0"/>
          <w:sz w:val="28"/>
          <w:szCs w:val="24"/>
          <w:lang w:val="en-US" w:eastAsia="zh-CN" w:bidi="ar-SA"/>
        </w:rPr>
        <w:t>主要是</w:t>
      </w:r>
      <w:r>
        <w:rPr>
          <w:rFonts w:hint="eastAsia" w:eastAsia="方正仿宋_GBK" w:cs="Times New Roman"/>
          <w:kern w:val="0"/>
          <w:sz w:val="28"/>
          <w:szCs w:val="24"/>
          <w:lang w:val="en-US" w:eastAsia="zh-CN" w:bidi="ar-SA"/>
        </w:rPr>
        <w:t>我单位厉行节约，严格控制公务接待费支出</w:t>
      </w:r>
      <w:r>
        <w:rPr>
          <w:rFonts w:hint="eastAsia" w:ascii="Times New Roman" w:hAnsi="Times New Roman" w:eastAsia="方正仿宋_GBK" w:cs="Times New Roman"/>
          <w:color w:val="000000"/>
          <w:kern w:val="0"/>
          <w:sz w:val="28"/>
          <w:szCs w:val="24"/>
          <w:lang w:val="en-US" w:eastAsia="zh-CN" w:bidi="ar-SA"/>
        </w:rPr>
        <w:t>。</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、第七次全国人口普查经费绩效目标表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通过开展普查工作总结、普查数据分析、组织撰写并印刷人口资料汇编，积极发布丰富详实的人口普查成果，为政府和社会提供普查资料信息服务。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印刷人口普查资料汇编数量</w:t>
            </w:r>
          </w:p>
        </w:tc>
        <w:tc>
          <w:tcPr>
            <w:tcW w:w="2835" w:type="dxa"/>
            <w:vAlign w:val="center"/>
          </w:tcPr>
          <w:p>
            <w:pPr>
              <w:pStyle w:val="14"/>
            </w:pPr>
            <w:r>
              <w:rPr>
                <w:rFonts w:hint="eastAsia"/>
              </w:rPr>
              <w:t>印刷人口普查资料汇编数量</w:t>
            </w:r>
          </w:p>
        </w:tc>
        <w:tc>
          <w:tcPr>
            <w:tcW w:w="2551" w:type="dxa"/>
            <w:vAlign w:val="center"/>
          </w:tcPr>
          <w:p>
            <w:pPr>
              <w:pStyle w:val="14"/>
            </w:pPr>
            <w:r>
              <w:t>500</w:t>
            </w:r>
            <w:r>
              <w:rPr>
                <w:rFonts w:hint="eastAsia"/>
              </w:rPr>
              <w:t>本</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资料开发聘用普查员数量</w:t>
            </w:r>
          </w:p>
        </w:tc>
        <w:tc>
          <w:tcPr>
            <w:tcW w:w="2835" w:type="dxa"/>
            <w:vAlign w:val="center"/>
          </w:tcPr>
          <w:p>
            <w:pPr>
              <w:pStyle w:val="14"/>
            </w:pPr>
            <w:r>
              <w:rPr>
                <w:rFonts w:hint="eastAsia"/>
              </w:rPr>
              <w:t>资料开发聘用普查员数量</w:t>
            </w:r>
          </w:p>
        </w:tc>
        <w:tc>
          <w:tcPr>
            <w:tcW w:w="2551" w:type="dxa"/>
            <w:vAlign w:val="center"/>
          </w:tcPr>
          <w:p>
            <w:pPr>
              <w:pStyle w:val="14"/>
            </w:pPr>
            <w:r>
              <w:t>6</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人口普查任务完成率</w:t>
            </w:r>
          </w:p>
        </w:tc>
        <w:tc>
          <w:tcPr>
            <w:tcW w:w="2835" w:type="dxa"/>
            <w:vAlign w:val="center"/>
          </w:tcPr>
          <w:p>
            <w:pPr>
              <w:pStyle w:val="14"/>
            </w:pPr>
            <w:r>
              <w:rPr>
                <w:rFonts w:hint="eastAsia"/>
              </w:rPr>
              <w:t>人口普查任务已完成占应完成比例</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人普资料汇编印刷完成时间</w:t>
            </w:r>
          </w:p>
        </w:tc>
        <w:tc>
          <w:tcPr>
            <w:tcW w:w="2835" w:type="dxa"/>
            <w:vAlign w:val="center"/>
          </w:tcPr>
          <w:p>
            <w:pPr>
              <w:pStyle w:val="14"/>
            </w:pPr>
            <w:r>
              <w:rPr>
                <w:rFonts w:hint="eastAsia"/>
              </w:rPr>
              <w:t>人普资料汇编在</w:t>
            </w:r>
            <w:r>
              <w:t>2022</w:t>
            </w:r>
            <w:r>
              <w:rPr>
                <w:rFonts w:hint="eastAsia"/>
              </w:rPr>
              <w:t>年</w:t>
            </w:r>
            <w:r>
              <w:t>10</w:t>
            </w:r>
            <w:r>
              <w:rPr>
                <w:rFonts w:hint="eastAsia"/>
              </w:rPr>
              <w:t>月</w:t>
            </w:r>
            <w:r>
              <w:t>31</w:t>
            </w:r>
            <w:r>
              <w:rPr>
                <w:rFonts w:hint="eastAsia"/>
              </w:rPr>
              <w:t>日前印刷完成</w:t>
            </w:r>
          </w:p>
        </w:tc>
        <w:tc>
          <w:tcPr>
            <w:tcW w:w="2551" w:type="dxa"/>
            <w:vAlign w:val="center"/>
          </w:tcPr>
          <w:p>
            <w:pPr>
              <w:pStyle w:val="14"/>
            </w:pPr>
            <w:r>
              <w:t>2022</w:t>
            </w:r>
            <w:r>
              <w:rPr>
                <w:rFonts w:hint="eastAsia"/>
              </w:rPr>
              <w:t>年</w:t>
            </w:r>
            <w:r>
              <w:t>10</w:t>
            </w:r>
            <w:r>
              <w:rPr>
                <w:rFonts w:hint="eastAsia"/>
              </w:rPr>
              <w:t>月</w:t>
            </w:r>
            <w:r>
              <w:t>31</w:t>
            </w:r>
            <w:r>
              <w:rPr>
                <w:rFonts w:hint="eastAsia"/>
              </w:rPr>
              <w:t>日前完成</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人普资料汇编印刷单位成本</w:t>
            </w:r>
          </w:p>
        </w:tc>
        <w:tc>
          <w:tcPr>
            <w:tcW w:w="2835" w:type="dxa"/>
            <w:vAlign w:val="center"/>
          </w:tcPr>
          <w:p>
            <w:pPr>
              <w:pStyle w:val="14"/>
            </w:pPr>
            <w:r>
              <w:rPr>
                <w:rFonts w:hint="eastAsia"/>
              </w:rPr>
              <w:t>人普资料汇编印刷单位成本控制在</w:t>
            </w:r>
            <w:r>
              <w:t>300</w:t>
            </w:r>
            <w:r>
              <w:rPr>
                <w:rFonts w:hint="eastAsia"/>
              </w:rPr>
              <w:t>元内</w:t>
            </w:r>
          </w:p>
        </w:tc>
        <w:tc>
          <w:tcPr>
            <w:tcW w:w="2551" w:type="dxa"/>
            <w:vAlign w:val="center"/>
          </w:tcPr>
          <w:p>
            <w:pPr>
              <w:pStyle w:val="14"/>
            </w:pPr>
            <w:r>
              <w:rPr>
                <w:rFonts w:hint="eastAsia"/>
              </w:rPr>
              <w:t>≤</w:t>
            </w:r>
            <w:r>
              <w:t>300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人普资料对人口政策的持续影响力</w:t>
            </w:r>
          </w:p>
        </w:tc>
        <w:tc>
          <w:tcPr>
            <w:tcW w:w="2835" w:type="dxa"/>
            <w:vAlign w:val="center"/>
          </w:tcPr>
          <w:p>
            <w:pPr>
              <w:pStyle w:val="14"/>
            </w:pPr>
            <w:r>
              <w:rPr>
                <w:rFonts w:hint="eastAsia"/>
              </w:rPr>
              <w:t>人普资料对人口政策的持续影响力</w:t>
            </w:r>
          </w:p>
        </w:tc>
        <w:tc>
          <w:tcPr>
            <w:tcW w:w="2551" w:type="dxa"/>
            <w:vAlign w:val="center"/>
          </w:tcPr>
          <w:p>
            <w:pPr>
              <w:pStyle w:val="14"/>
            </w:pPr>
            <w:r>
              <w:rPr>
                <w:rFonts w:hint="eastAsia"/>
              </w:rPr>
              <w:t>≥</w:t>
            </w:r>
            <w:r>
              <w:t>10</w:t>
            </w:r>
            <w:r>
              <w:rPr>
                <w:rFonts w:hint="eastAsia"/>
              </w:rPr>
              <w:t>年</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人普资料使用单位的满意度</w:t>
            </w:r>
          </w:p>
        </w:tc>
        <w:tc>
          <w:tcPr>
            <w:tcW w:w="2835" w:type="dxa"/>
            <w:vAlign w:val="center"/>
          </w:tcPr>
          <w:p>
            <w:pPr>
              <w:pStyle w:val="14"/>
            </w:pPr>
            <w:r>
              <w:rPr>
                <w:rFonts w:hint="eastAsia"/>
              </w:rPr>
              <w:t>人普资料使用单位的满意程度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jc w:val="both"/>
      </w:pPr>
      <w:r>
        <w:rPr>
          <w:rFonts w:eastAsia="方正仿宋_GBK"/>
          <w:color w:val="000000"/>
          <w:sz w:val="28"/>
        </w:rPr>
        <w:t>2022</w:t>
      </w:r>
      <w:r>
        <w:rPr>
          <w:rFonts w:hint="eastAsia" w:eastAsia="方正仿宋_GBK"/>
          <w:color w:val="000000"/>
          <w:sz w:val="28"/>
        </w:rPr>
        <w:t>年，霸州市统计局</w:t>
      </w:r>
      <w:r>
        <w:rPr>
          <w:rFonts w:hint="eastAsia" w:eastAsia="方正仿宋_GBK"/>
          <w:color w:val="000000"/>
          <w:sz w:val="28"/>
          <w:lang w:val="en-US" w:eastAsia="zh-CN"/>
        </w:rPr>
        <w:t>本级</w:t>
      </w:r>
      <w:r>
        <w:rPr>
          <w:rFonts w:hint="eastAsia" w:eastAsia="方正仿宋_GBK"/>
          <w:color w:val="000000"/>
          <w:sz w:val="28"/>
        </w:rPr>
        <w:t>安排政府采购预算</w:t>
      </w:r>
      <w:r>
        <w:rPr>
          <w:rFonts w:eastAsia="方正仿宋_GBK"/>
          <w:color w:val="000000"/>
          <w:sz w:val="28"/>
        </w:rPr>
        <w:t>0.30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112001霸州市统计局本级</w:t>
            </w:r>
          </w:p>
        </w:tc>
        <w:tc>
          <w:tcPr>
            <w:tcW w:w="8676"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霸州市统计局本级小计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公用类项目</w:t>
            </w:r>
          </w:p>
        </w:tc>
        <w:tc>
          <w:tcPr>
            <w:tcW w:w="964" w:type="dxa"/>
            <w:vAlign w:val="center"/>
          </w:tcPr>
          <w:p>
            <w:pPr>
              <w:pStyle w:val="13"/>
            </w:pPr>
            <w:r>
              <w:t>78.63</w:t>
            </w:r>
          </w:p>
        </w:tc>
        <w:tc>
          <w:tcPr>
            <w:tcW w:w="1134" w:type="dxa"/>
            <w:vAlign w:val="center"/>
          </w:tcPr>
          <w:p>
            <w:pPr>
              <w:pStyle w:val="14"/>
            </w:pPr>
            <w:r>
              <w:rPr>
                <w:rFonts w:hint="eastAsia"/>
              </w:rPr>
              <w:t>其他柜类</w:t>
            </w:r>
          </w:p>
        </w:tc>
        <w:tc>
          <w:tcPr>
            <w:tcW w:w="1134" w:type="dxa"/>
            <w:vAlign w:val="center"/>
          </w:tcPr>
          <w:p>
            <w:pPr>
              <w:pStyle w:val="14"/>
            </w:pPr>
            <w:r>
              <w:t>A060599</w:t>
            </w:r>
          </w:p>
        </w:tc>
        <w:tc>
          <w:tcPr>
            <w:tcW w:w="709" w:type="dxa"/>
            <w:vAlign w:val="center"/>
          </w:tcPr>
          <w:p>
            <w:pPr>
              <w:pStyle w:val="15"/>
            </w:pPr>
            <w:r>
              <w:rPr>
                <w:rFonts w:hint="eastAsia"/>
              </w:rPr>
              <w:t>个</w:t>
            </w:r>
          </w:p>
        </w:tc>
        <w:tc>
          <w:tcPr>
            <w:tcW w:w="850" w:type="dxa"/>
            <w:vAlign w:val="center"/>
          </w:tcPr>
          <w:p>
            <w:pPr>
              <w:pStyle w:val="13"/>
            </w:pPr>
            <w:r>
              <w:t>5</w:t>
            </w:r>
          </w:p>
        </w:tc>
        <w:tc>
          <w:tcPr>
            <w:tcW w:w="850" w:type="dxa"/>
            <w:vAlign w:val="center"/>
          </w:tcPr>
          <w:p>
            <w:pPr>
              <w:pStyle w:val="13"/>
            </w:pPr>
            <w:r>
              <w:t>0.06</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bl>
    <w:p>
      <w:pPr>
        <w:spacing w:line="500" w:lineRule="exact"/>
        <w:ind w:firstLine="420"/>
        <w:jc w:val="both"/>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jc w:val="both"/>
      </w:pPr>
      <w:r>
        <w:rPr>
          <w:rFonts w:hint="eastAsia" w:eastAsia="方正仿宋_GBK"/>
          <w:color w:val="000000"/>
          <w:sz w:val="28"/>
        </w:rPr>
        <w:t>霸州市统计局</w:t>
      </w:r>
      <w:r>
        <w:rPr>
          <w:rFonts w:hint="eastAsia" w:eastAsia="方正仿宋_GBK"/>
          <w:color w:val="000000"/>
          <w:sz w:val="28"/>
          <w:lang w:val="en-US" w:eastAsia="zh-CN"/>
        </w:rPr>
        <w:t>本级</w:t>
      </w:r>
      <w:r>
        <w:rPr>
          <w:rFonts w:hint="eastAsia" w:eastAsia="方正仿宋_GBK"/>
          <w:color w:val="000000"/>
          <w:sz w:val="28"/>
        </w:rPr>
        <w:t>上年末固定资产金额为</w:t>
      </w:r>
      <w:r>
        <w:rPr>
          <w:rFonts w:hint="eastAsia" w:eastAsia="方正仿宋_GBK"/>
          <w:color w:val="000000"/>
          <w:sz w:val="28"/>
          <w:lang w:val="en-US" w:eastAsia="zh-CN"/>
        </w:rPr>
        <w:t>405.17</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0.3</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hint="eastAsia" w:ascii="方正小标宋_GBK" w:hAnsi="方正小标宋_GBK" w:eastAsia="方正小标宋_GBK" w:cs="方正小标宋_GBK"/>
          <w:color w:val="000000"/>
          <w:sz w:val="36"/>
        </w:rPr>
        <w:t>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112001霸州市统计局本级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4"/>
            </w:pPr>
            <w:r>
              <w:rPr>
                <w:rFonts w:hint="eastAsia"/>
              </w:rPr>
              <w:t>——</w:t>
            </w:r>
          </w:p>
        </w:tc>
        <w:tc>
          <w:tcPr>
            <w:tcW w:w="2835" w:type="dxa"/>
            <w:vAlign w:val="center"/>
          </w:tcPr>
          <w:p>
            <w:pPr>
              <w:pStyle w:val="14"/>
            </w:pPr>
            <w:r>
              <w:rPr>
                <w:rFonts w:hint="eastAsia"/>
                <w:lang w:val="en-US" w:eastAsia="zh-CN"/>
              </w:rPr>
              <w:t>405.17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1、房屋（平方米）</w:t>
            </w:r>
          </w:p>
        </w:tc>
        <w:tc>
          <w:tcPr>
            <w:tcW w:w="2835" w:type="dxa"/>
            <w:vAlign w:val="center"/>
          </w:tcPr>
          <w:p>
            <w:pPr>
              <w:pStyle w:val="14"/>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xml:space="preserve">   其中：办公用房（平方米）</w:t>
            </w:r>
          </w:p>
        </w:tc>
        <w:tc>
          <w:tcPr>
            <w:tcW w:w="2835" w:type="dxa"/>
            <w:vAlign w:val="center"/>
          </w:tcPr>
          <w:p>
            <w:pPr>
              <w:pStyle w:val="14"/>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2、车辆（台、辆）</w:t>
            </w:r>
          </w:p>
        </w:tc>
        <w:tc>
          <w:tcPr>
            <w:tcW w:w="2835" w:type="dxa"/>
            <w:vAlign w:val="center"/>
          </w:tcPr>
          <w:p>
            <w:pPr>
              <w:pStyle w:val="14"/>
            </w:pPr>
            <w:r>
              <w:rPr>
                <w:rFonts w:hint="eastAsia"/>
                <w:lang w:val="en-US" w:eastAsia="zh-CN"/>
              </w:rPr>
              <w:t>1</w:t>
            </w:r>
          </w:p>
        </w:tc>
        <w:tc>
          <w:tcPr>
            <w:tcW w:w="2835" w:type="dxa"/>
            <w:vAlign w:val="center"/>
          </w:tcPr>
          <w:p>
            <w:pPr>
              <w:pStyle w:val="14"/>
            </w:pPr>
            <w:r>
              <w:rPr>
                <w:rFonts w:hint="eastAsia"/>
                <w:lang w:val="en-US" w:eastAsia="zh-CN"/>
              </w:rPr>
              <w:t>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3、单价在20万元以上的设备</w:t>
            </w:r>
          </w:p>
        </w:tc>
        <w:tc>
          <w:tcPr>
            <w:tcW w:w="2835" w:type="dxa"/>
            <w:vAlign w:val="center"/>
          </w:tcPr>
          <w:p>
            <w:pPr>
              <w:pStyle w:val="14"/>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4、其他固定资产</w:t>
            </w:r>
          </w:p>
        </w:tc>
        <w:tc>
          <w:tcPr>
            <w:tcW w:w="2835" w:type="dxa"/>
            <w:vAlign w:val="center"/>
          </w:tcPr>
          <w:p>
            <w:pPr>
              <w:pStyle w:val="14"/>
            </w:pPr>
            <w:r>
              <w:rPr>
                <w:rFonts w:hint="eastAsia"/>
                <w:lang w:val="en-US" w:eastAsia="zh-CN"/>
              </w:rPr>
              <w:t>1919</w:t>
            </w:r>
          </w:p>
        </w:tc>
        <w:tc>
          <w:tcPr>
            <w:tcW w:w="2835" w:type="dxa"/>
            <w:vAlign w:val="center"/>
          </w:tcPr>
          <w:p>
            <w:pPr>
              <w:pStyle w:val="14"/>
            </w:pPr>
            <w:r>
              <w:rPr>
                <w:rFonts w:hint="eastAsia"/>
                <w:lang w:val="en-US" w:eastAsia="zh-CN"/>
              </w:rPr>
              <w:t>385.40</w:t>
            </w:r>
          </w:p>
        </w:tc>
      </w:tr>
    </w:tbl>
    <w:p>
      <w:pPr>
        <w:ind w:firstLine="640"/>
      </w:pPr>
      <w:r>
        <w:rPr>
          <w:rFonts w:eastAsia="方正仿宋_GBK"/>
          <w:color w:val="000000"/>
          <w:sz w:val="32"/>
        </w:rPr>
        <w:t xml:space="preserve"> </w:t>
      </w:r>
      <w:bookmarkStart w:id="16" w:name="_Toc_3_3_0000000017"/>
      <w:r>
        <w:rPr>
          <w:rFonts w:hint="eastAsia" w:ascii="黑体" w:hAnsi="黑体" w:eastAsia="黑体" w:cs="黑体"/>
          <w:color w:val="000000"/>
          <w:sz w:val="32"/>
        </w:rPr>
        <w:t>八、名词解释</w:t>
      </w:r>
      <w:bookmarkEnd w:id="16"/>
    </w:p>
    <w:p>
      <w:pPr>
        <w:spacing w:line="500" w:lineRule="exact"/>
        <w:ind w:firstLine="560"/>
        <w:jc w:val="both"/>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市</w:t>
      </w:r>
      <w:r>
        <w:rPr>
          <w:rFonts w:hint="eastAsia" w:eastAsia="方正仿宋_GBK"/>
          <w:color w:val="000000"/>
          <w:sz w:val="28"/>
        </w:rPr>
        <w:t>级财政当年拨付的资金。</w:t>
      </w:r>
    </w:p>
    <w:p>
      <w:pPr>
        <w:spacing w:line="500" w:lineRule="exact"/>
        <w:ind w:firstLine="560"/>
        <w:jc w:val="both"/>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jc w:val="both"/>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jc w:val="both"/>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jc w:val="both"/>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jc w:val="both"/>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jc w:val="both"/>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市</w:t>
      </w:r>
      <w:r>
        <w:rPr>
          <w:rFonts w:hint="eastAsia" w:eastAsia="方正仿宋_GBK"/>
          <w:color w:val="000000"/>
          <w:sz w:val="28"/>
        </w:rPr>
        <w:t>级</w:t>
      </w:r>
      <w:r>
        <w:rPr>
          <w:rFonts w:hint="eastAsia" w:eastAsia="方正仿宋_GBK"/>
          <w:color w:val="000000"/>
          <w:sz w:val="28"/>
          <w:lang w:val="en-US" w:eastAsia="zh-CN"/>
        </w:rPr>
        <w:t>单位</w:t>
      </w:r>
      <w:r>
        <w:rPr>
          <w:rFonts w:hint="eastAsia"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both"/>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val="en-US"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both"/>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jc w:val="both"/>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jc w:val="both"/>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jc w:val="both"/>
      </w:pPr>
      <w:r>
        <w:rPr>
          <w:rFonts w:hint="eastAsia" w:eastAsia="方正仿宋_GBK"/>
          <w:color w:val="000000"/>
          <w:sz w:val="28"/>
        </w:rPr>
        <w:t>我</w:t>
      </w:r>
      <w:r>
        <w:rPr>
          <w:rFonts w:hint="eastAsia" w:eastAsia="方正仿宋_GBK"/>
          <w:color w:val="000000"/>
          <w:sz w:val="28"/>
          <w:lang w:val="en-US" w:eastAsia="zh-CN"/>
        </w:rPr>
        <w:t>单位</w:t>
      </w:r>
      <w:r>
        <w:rPr>
          <w:rFonts w:hint="eastAsia"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楷体_GBK">
    <w:altName w:val="宋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lvl>
  </w:abstractNum>
  <w:abstractNum w:abstractNumId="1">
    <w:nsid w:val="00000005"/>
    <w:multiLevelType w:val="singleLevel"/>
    <w:tmpl w:val="00000005"/>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1"/>
  <w:displayVerticalDrawingGridEvery w:val="1"/>
  <w:characterSpacingControl w:val="doNotCompress"/>
  <w:noLineBreaksAfter w:lang="zh-CN" w:val="$([{£¥·‘“〈《「『【〔〖〝﹙﹛﹝＄（．［｛￡￥"/>
  <w:noLineBreaksBefore w:lang="zh-CN" w:val="!%),.:;&gt;?]}¢¨°·ˇˉ―‖’”…‰′″›℃∶、。〃〉》」』】〕〗〞︶︺︾﹀﹄﹚﹜﹞！＂％＇），．：；？］｀｜｝～￠"/>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0N2MyNzQ5N2MxMDlkZWNhMzdkM2M2OWE1NjU3ZWUifQ=="/>
  </w:docVars>
  <w:rsids>
    <w:rsidRoot w:val="00000000"/>
    <w:rsid w:val="00B06AE3"/>
    <w:rsid w:val="027F790B"/>
    <w:rsid w:val="090D5AC0"/>
    <w:rsid w:val="0C455BED"/>
    <w:rsid w:val="0DA25129"/>
    <w:rsid w:val="1046769A"/>
    <w:rsid w:val="11DA34F5"/>
    <w:rsid w:val="1F1B090A"/>
    <w:rsid w:val="1FAB4BF5"/>
    <w:rsid w:val="2CED77E3"/>
    <w:rsid w:val="3312788B"/>
    <w:rsid w:val="416B7CF1"/>
    <w:rsid w:val="42F70BD2"/>
    <w:rsid w:val="43D56AEB"/>
    <w:rsid w:val="48B620CF"/>
    <w:rsid w:val="4B492A9E"/>
    <w:rsid w:val="4CA85360"/>
    <w:rsid w:val="528D720F"/>
    <w:rsid w:val="52CC234C"/>
    <w:rsid w:val="596040BD"/>
    <w:rsid w:val="5D8B1FAD"/>
    <w:rsid w:val="625377B6"/>
    <w:rsid w:val="6295249F"/>
    <w:rsid w:val="652266CA"/>
    <w:rsid w:val="65EC3AD1"/>
    <w:rsid w:val="69BE2DFD"/>
    <w:rsid w:val="6B324744"/>
    <w:rsid w:val="6C9E1B12"/>
    <w:rsid w:val="725A1FC5"/>
    <w:rsid w:val="7AD620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kern w:val="0"/>
      <w:sz w:val="24"/>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480"/>
    </w:p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29</Pages>
  <Words>11583</Words>
  <Characters>13239</Characters>
  <Lines>0</Lines>
  <Paragraphs>0</Paragraphs>
  <TotalTime>0</TotalTime>
  <ScaleCrop>false</ScaleCrop>
  <LinksUpToDate>false</LinksUpToDate>
  <CharactersWithSpaces>13431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2022-03-02T07:53:00Z</dcterms:created>
  <dc:creator>mly</dc:creator>
  <cp:lastModifiedBy>ygx</cp:lastModifiedBy>
  <dcterms:modified xsi:type="dcterms:W3CDTF">2023-08-01T01:19:15Z</dcterms:modified>
  <dc:title>mly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DFA9F26696FE431A9635B1F5EE2BBD12</vt:lpwstr>
  </property>
</Properties>
</file>